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B" w:rsidRPr="00BB328B" w:rsidRDefault="00BB328B" w:rsidP="00BB3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28B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об исполнении бюджета за 2016 год</w:t>
      </w:r>
    </w:p>
    <w:p w:rsidR="00BB328B" w:rsidRDefault="00BB328B" w:rsidP="0082007C">
      <w:pPr>
        <w:rPr>
          <w:rFonts w:ascii="Times New Roman" w:hAnsi="Times New Roman" w:cs="Times New Roman"/>
          <w:b/>
          <w:sz w:val="24"/>
          <w:szCs w:val="24"/>
        </w:rPr>
      </w:pPr>
    </w:p>
    <w:p w:rsidR="0082007C" w:rsidRPr="0082007C" w:rsidRDefault="0082007C" w:rsidP="0082007C">
      <w:pPr>
        <w:rPr>
          <w:rFonts w:ascii="Times New Roman" w:hAnsi="Times New Roman" w:cs="Times New Roman"/>
          <w:b/>
          <w:sz w:val="24"/>
          <w:szCs w:val="24"/>
        </w:rPr>
      </w:pPr>
      <w:r w:rsidRPr="0082007C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82007C" w:rsidRPr="0082007C" w:rsidRDefault="0082007C" w:rsidP="0082007C">
      <w:pPr>
        <w:keepNext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В 2016 основной задачей была стабилизация ситуации в экономике города, развитие собственной доходной базы для реализации проектов и дальнейшего развития города Реутов.</w:t>
      </w:r>
      <w:r w:rsidRPr="008200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2007C" w:rsidRPr="0082007C" w:rsidRDefault="0082007C" w:rsidP="00820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ДИНАМИКА ДОХОДОВ БЮДЖЕТА ГОРОДА РЕУТОВ  (млн. руб.)</w:t>
      </w:r>
    </w:p>
    <w:p w:rsidR="0082007C" w:rsidRPr="0082007C" w:rsidRDefault="0082007C" w:rsidP="0082007C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36195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07C">
        <w:rPr>
          <w:rFonts w:ascii="Times New Roman" w:hAnsi="Times New Roman" w:cs="Times New Roman"/>
          <w:sz w:val="24"/>
          <w:szCs w:val="24"/>
        </w:rPr>
        <w:t>Исполнение бюджета по доходам в  2016 году составило 2 542,2 млн. руб., что на 67,6 млн. руб. больше (или 2,7 %), чем в 2015 году (2 474,6 млн. руб.), в том числе по налоговым и неналоговым доходам в 2016 году составило 1 290,3 млн. руб., что на 101,4 млн. руб. меньше, чем в 2015 году (1 391,7 млн. руб.)</w:t>
      </w:r>
      <w:proofErr w:type="gramEnd"/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Доля налоговых и неналоговых доходов в 2016 году представлена на диаграмме:</w:t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19625" cy="1933575"/>
            <wp:effectExtent l="19050" t="0" r="9525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Доля налоговых доходов  в объеме налоговых и неналоговых доходов увеличилась в 2016 году и составила 60,5 %, в 2015 году составляла 56,5 %; доля неналоговых доходов  в объеме налоговых и неналоговых доходов уменьшилась в 2016 году и составила 39,5 %, в 2015 году составляла 43,5 %.</w:t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Динамика по видам доходов бюджета (млн. руб.) представлена в таблице: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007C" w:rsidRPr="0082007C" w:rsidTr="00B93DF9">
        <w:tc>
          <w:tcPr>
            <w:tcW w:w="1914" w:type="dxa"/>
            <w:vMerge w:val="restart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914" w:type="dxa"/>
            <w:vMerge w:val="restart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14" w:type="dxa"/>
            <w:vMerge w:val="restart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829" w:type="dxa"/>
            <w:gridSpan w:val="2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Рост/снижение доходов</w:t>
            </w:r>
          </w:p>
        </w:tc>
      </w:tr>
      <w:tr w:rsidR="0082007C" w:rsidRPr="0082007C" w:rsidTr="00B93DF9">
        <w:tc>
          <w:tcPr>
            <w:tcW w:w="1914" w:type="dxa"/>
            <w:vMerge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15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07C" w:rsidRPr="0082007C" w:rsidTr="00B93DF9">
        <w:tc>
          <w:tcPr>
            <w:tcW w:w="1914" w:type="dxa"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- 101,4</w:t>
            </w:r>
          </w:p>
        </w:tc>
        <w:tc>
          <w:tcPr>
            <w:tcW w:w="1915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92,7 %</w:t>
            </w:r>
          </w:p>
        </w:tc>
      </w:tr>
      <w:tr w:rsidR="0082007C" w:rsidRPr="0082007C" w:rsidTr="00B93DF9">
        <w:tc>
          <w:tcPr>
            <w:tcW w:w="1914" w:type="dxa"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- 5,5</w:t>
            </w:r>
          </w:p>
        </w:tc>
        <w:tc>
          <w:tcPr>
            <w:tcW w:w="1915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99,3 %</w:t>
            </w:r>
          </w:p>
        </w:tc>
      </w:tr>
      <w:tr w:rsidR="0082007C" w:rsidRPr="0082007C" w:rsidTr="00B93DF9">
        <w:tc>
          <w:tcPr>
            <w:tcW w:w="1914" w:type="dxa"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509,9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- 95,9</w:t>
            </w:r>
          </w:p>
        </w:tc>
        <w:tc>
          <w:tcPr>
            <w:tcW w:w="1915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84,2 %</w:t>
            </w:r>
          </w:p>
        </w:tc>
      </w:tr>
      <w:tr w:rsidR="0082007C" w:rsidRPr="0082007C" w:rsidTr="00B93DF9">
        <w:tc>
          <w:tcPr>
            <w:tcW w:w="1914" w:type="dxa"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1082,9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1251,9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+ 169,0</w:t>
            </w:r>
          </w:p>
        </w:tc>
        <w:tc>
          <w:tcPr>
            <w:tcW w:w="1915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115,6 %</w:t>
            </w:r>
          </w:p>
        </w:tc>
      </w:tr>
      <w:tr w:rsidR="0082007C" w:rsidRPr="0082007C" w:rsidTr="00B93DF9">
        <w:tc>
          <w:tcPr>
            <w:tcW w:w="1914" w:type="dxa"/>
          </w:tcPr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2474,6</w:t>
            </w: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2542,2</w:t>
            </w:r>
          </w:p>
        </w:tc>
        <w:tc>
          <w:tcPr>
            <w:tcW w:w="1914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+ 67,6</w:t>
            </w: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7C" w:rsidRPr="0082007C" w:rsidRDefault="0082007C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102,7 %</w:t>
            </w:r>
          </w:p>
        </w:tc>
      </w:tr>
    </w:tbl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ДИНАМИКА НАЛОГОВЫХ ДОХОДОВ (млн. руб.)</w:t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241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007C" w:rsidRPr="0082007C" w:rsidRDefault="0082007C" w:rsidP="008200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lastRenderedPageBreak/>
        <w:t xml:space="preserve">Рост по налоговым доходам в 2016 году по сравнению с 2015 годом произошел  по следующим доходным источникам: 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налогу на доходы физических лиц на 30,1 млн. руб.;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акцизам на нефтепродукты на 1,3 млн. руб.;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налогу, взимаемому в связи с применением упрощенной системы налогообложения на 29,6 млн. руб.;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налогу, взимаемому  в связи с применением патентной системы налогообложения на 5,1 млн. руб.</w:t>
      </w:r>
    </w:p>
    <w:p w:rsidR="0082007C" w:rsidRPr="0082007C" w:rsidRDefault="0082007C" w:rsidP="008200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Снижение по налоговым доходам в 2016 году по сравнению с 2015 годом произошло по следующим доходным источникам: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единому налогу на вмененный доход для отдельных видов деятельности на 11,0 млн. руб.;</w:t>
      </w:r>
    </w:p>
    <w:p w:rsidR="0082007C" w:rsidRPr="0082007C" w:rsidRDefault="0082007C" w:rsidP="008200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налогу на имущество физических лиц на 18,5 млн. руб. в связи с переходом на исчисление налога исходя из кадастровой стоимости объектов недвижимости;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земельному налогу на 40,2 млн. руб. по причине поступления в 2015 году задолженности за 2014 год;   государственной пошлине на 1,9 млн. руб.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 </w:t>
      </w:r>
      <w:r w:rsidRPr="0082007C">
        <w:rPr>
          <w:rFonts w:ascii="Times New Roman" w:hAnsi="Times New Roman" w:cs="Times New Roman"/>
          <w:sz w:val="24"/>
          <w:szCs w:val="24"/>
        </w:rPr>
        <w:tab/>
      </w:r>
    </w:p>
    <w:p w:rsidR="0082007C" w:rsidRPr="0082007C" w:rsidRDefault="0082007C" w:rsidP="00820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ДИНАМИКА НЕНАЛОГОВЫХ ДОХОДОВ (млн. руб.)</w:t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241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007C" w:rsidRPr="0082007C" w:rsidRDefault="0082007C" w:rsidP="008200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Снижение по неналоговым доходам в 2016 году по сравнению с 2015 годом произошло по основным доходным источникам: 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на 43,3 млн. руб. в связи с ростом задолженности плательщиков;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на 33,1 млн. руб. в связи с передачей объектов </w:t>
      </w:r>
      <w:proofErr w:type="spellStart"/>
      <w:r w:rsidRPr="0082007C">
        <w:rPr>
          <w:rFonts w:ascii="Times New Roman" w:hAnsi="Times New Roman" w:cs="Times New Roman"/>
          <w:sz w:val="24"/>
          <w:szCs w:val="24"/>
        </w:rPr>
        <w:t>энергосервиса</w:t>
      </w:r>
      <w:proofErr w:type="spellEnd"/>
      <w:r w:rsidRPr="0082007C">
        <w:rPr>
          <w:rFonts w:ascii="Times New Roman" w:hAnsi="Times New Roman" w:cs="Times New Roman"/>
          <w:sz w:val="24"/>
          <w:szCs w:val="24"/>
        </w:rPr>
        <w:t xml:space="preserve"> в собственность Московской области;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доходы от реализации имущества на 26,1 млн. руб. в соответствии с Прогнозным планом приватизации муниципального имущества;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lastRenderedPageBreak/>
        <w:t>доходы от продажи земельных участков на 7,2 млн. руб.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штрафы, санкции, возмещение ущерба на 8,5 млн. руб.</w:t>
      </w:r>
    </w:p>
    <w:p w:rsidR="0082007C" w:rsidRPr="0082007C" w:rsidRDefault="0082007C" w:rsidP="008200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Рост по неналоговым доходам в 2016 году по сравнению с 2015 годом произошел  по следующим доходным источникам: 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поступления по плате за установку и размещение рекламных конструкций на 16,6 млн. руб. в связи с  перечислением задолженности прошлых лет;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доходы от продажи квартир на 3,9 млн. руб.;</w:t>
      </w:r>
    </w:p>
    <w:p w:rsidR="0082007C" w:rsidRPr="0082007C" w:rsidRDefault="0082007C" w:rsidP="00820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платежи от муниципальных унитарных предприятий на 0,8 млн. руб.;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земли после разграничения  государственной собственности на землю на 0,7 млн. руб.</w:t>
      </w:r>
    </w:p>
    <w:p w:rsidR="0082007C" w:rsidRPr="0082007C" w:rsidRDefault="0082007C" w:rsidP="00820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 (МКУ «ХЭК ОУ») на 0,3 млн. руб.</w:t>
      </w:r>
    </w:p>
    <w:p w:rsidR="0082007C" w:rsidRPr="0082007C" w:rsidRDefault="0082007C" w:rsidP="00820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ДИНАМИКА БЕЗВОЗМЕЗДНЫХ ПОСТУПЛЕНИЙ  (млн. руб.)</w:t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2412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2007C">
        <w:rPr>
          <w:rFonts w:ascii="Times New Roman" w:hAnsi="Times New Roman" w:cs="Times New Roman"/>
          <w:sz w:val="24"/>
          <w:szCs w:val="24"/>
        </w:rPr>
        <w:t>Рост безвозмездных поступлений в 2016 году произошел по иным межбюджетным трансфертам в связи с выделением Премии Губернатора Московской области «Прорыв года» в размере 70,0 млн. руб., а также за оценку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 в размере 4,9 млн. руб.</w:t>
      </w:r>
      <w:proofErr w:type="gramEnd"/>
    </w:p>
    <w:p w:rsidR="00661253" w:rsidRPr="0082007C" w:rsidRDefault="00661253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15052364"/>
      <w:r w:rsidRPr="0082007C">
        <w:rPr>
          <w:rFonts w:ascii="Times New Roman" w:hAnsi="Times New Roman" w:cs="Times New Roman"/>
          <w:b/>
          <w:sz w:val="24"/>
          <w:szCs w:val="24"/>
        </w:rPr>
        <w:lastRenderedPageBreak/>
        <w:t>Расходы бюджета</w:t>
      </w:r>
      <w:bookmarkEnd w:id="0"/>
    </w:p>
    <w:p w:rsidR="0082007C" w:rsidRPr="0082007C" w:rsidRDefault="0082007C" w:rsidP="008200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формирования бюджета на </w:t>
      </w:r>
      <w:r w:rsidRPr="0082007C">
        <w:rPr>
          <w:rFonts w:ascii="Times New Roman" w:hAnsi="Times New Roman" w:cs="Times New Roman"/>
          <w:sz w:val="24"/>
          <w:szCs w:val="24"/>
        </w:rPr>
        <w:t>2016 год и на плановый период 2017                  и 2018 годов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 являлось его планирование программным методом на 3-х летний период,                   что позволило не только оценить, сколько средств реализуется на каждую программу,                 но и каких целей удалось достичь до конца года.</w:t>
      </w:r>
    </w:p>
    <w:p w:rsidR="0082007C" w:rsidRPr="0082007C" w:rsidRDefault="0082007C" w:rsidP="008200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Бюджет города Реутов на 2016 год по расходам первоначально утвержден                          в </w:t>
      </w:r>
      <w:r w:rsidRPr="008200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 2</w:t>
      </w:r>
      <w:r w:rsidRPr="008200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411,4 млн. рублей, в т. ч. </w:t>
      </w:r>
      <w:r w:rsidRPr="008200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местный бюджет 1 354,6 млн. рублей. </w:t>
      </w:r>
    </w:p>
    <w:p w:rsidR="0082007C" w:rsidRPr="0082007C" w:rsidRDefault="0082007C" w:rsidP="008200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городского бюджета за 2016 год составило 2 551,2 млн</w:t>
      </w:r>
      <w:r w:rsidRPr="0082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Pr="0082007C">
        <w:rPr>
          <w:rFonts w:ascii="Times New Roman" w:eastAsia="Times New Roman" w:hAnsi="Times New Roman" w:cs="Times New Roman"/>
          <w:bCs/>
          <w:sz w:val="24"/>
          <w:szCs w:val="24"/>
        </w:rPr>
        <w:t>в т. ч. местный бюджет 1 369,4 млн. рублей.</w:t>
      </w:r>
    </w:p>
    <w:p w:rsidR="0082007C" w:rsidRPr="0082007C" w:rsidRDefault="0082007C" w:rsidP="008200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В 2016 году программно-целевым методом осуществлено финансирование                          в объёме 2 535,7 млн. рублей или 99,4 % от общего объема расходной части городского бюджета, что выше уровня 2015 года на 90,4 млн. рублей. </w:t>
      </w: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целевых показателей муниципальных программ в 2016 году                         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(12 программ) </w:t>
      </w:r>
      <w:r w:rsidRPr="0082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направлено на реализацию Указов Президента Российской Федерации, поручений Губернатора Московской области и установленных 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t>Главой города Реутов приоритетов развития. </w:t>
      </w: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Глава города проводит взвешенную долговую политику. В 2016 году, также как и 2015 году, благодаря полученной экономии по результатам конкурентных процедур удалось не привлекать кредитные ресурсы для покрытия дефицита бюджета в сумме 35,0  млн. рублей.</w:t>
      </w: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Просроченная кредиторская задолженность по итогам 2016 года отсутствует.</w:t>
      </w: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3827"/>
      </w:tblGrid>
      <w:tr w:rsidR="0082007C" w:rsidRPr="0082007C" w:rsidTr="00B93DF9">
        <w:trPr>
          <w:trHeight w:val="52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 утвержденный бюджет города по расходам: </w:t>
            </w:r>
          </w:p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0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411,4 </w:t>
            </w:r>
            <w:r w:rsidRPr="00820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млн. рублей </w:t>
            </w:r>
          </w:p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(местный </w:t>
            </w:r>
            <w:r w:rsidRPr="00820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r w:rsidRPr="0082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1 354,6</w:t>
            </w:r>
            <w:r w:rsidRPr="00820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млн. рублей)</w:t>
            </w:r>
          </w:p>
        </w:tc>
      </w:tr>
      <w:tr w:rsidR="0082007C" w:rsidRPr="0082007C" w:rsidTr="00B93DF9">
        <w:trPr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расходы бюджета </w:t>
            </w:r>
            <w:proofErr w:type="gramStart"/>
            <w:r w:rsidRPr="0082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82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направлениям: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</w:p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(млн. рублей)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1 583,6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  13,2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318,6</w:t>
            </w:r>
          </w:p>
        </w:tc>
      </w:tr>
      <w:tr w:rsidR="0082007C" w:rsidRPr="0082007C" w:rsidTr="00B93DF9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109,1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137,2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 68,3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141,3</w:t>
            </w:r>
          </w:p>
        </w:tc>
      </w:tr>
      <w:tr w:rsidR="0082007C" w:rsidRPr="0082007C" w:rsidTr="00B93DF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151,9</w:t>
            </w:r>
          </w:p>
        </w:tc>
      </w:tr>
      <w:tr w:rsidR="0082007C" w:rsidRPr="0082007C" w:rsidTr="00B93DF9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расходной части городского бюджета: </w:t>
            </w:r>
          </w:p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2 551,2 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820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07C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Pr="00820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 </w:t>
            </w:r>
            <w:r w:rsidRPr="0082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1 369,4 </w:t>
            </w:r>
            <w:r w:rsidRPr="00820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млн. рублей)</w:t>
            </w:r>
          </w:p>
        </w:tc>
      </w:tr>
    </w:tbl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Бюджет по-прежнему носит социальную направленность.</w:t>
      </w:r>
      <w:r w:rsidRPr="008200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Расходы на социальную сферу составили в 2016 году 1 958,4 млн. рублей или 76,8%, что выше уровня 2015 года на 4,8 % или 186,3 млн. рублей.  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Наибольшую долю в составе расходов на социально-культурную сферу составили расходы: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lastRenderedPageBreak/>
        <w:t>- на образование – 80,9 %;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на здравоохранение – 0,7 %;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на культуру</w:t>
      </w:r>
      <w:r w:rsidRPr="0082007C">
        <w:rPr>
          <w:rFonts w:ascii="Times New Roman" w:hAnsi="Times New Roman" w:cs="Times New Roman"/>
          <w:sz w:val="24"/>
          <w:szCs w:val="24"/>
        </w:rPr>
        <w:tab/>
        <w:t>- 7,2 %;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на физическую культуру и спорт – 3,5 %;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на социальную политику  - 7,8 %.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Одним из источников повышения уровня социальной направленности городского бюджета является оптимизация расходов на содержание муниципальных служащих, которая составила в 2016 году около 60,0 млн. рублей.</w:t>
      </w:r>
    </w:p>
    <w:p w:rsidR="0082007C" w:rsidRPr="0082007C" w:rsidRDefault="0082007C" w:rsidP="008200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на выплату заработной платы (с начислениями) работникам социально–культурной сферы города в 2016 году составил 1 257,5 млн. рублей.</w:t>
      </w:r>
    </w:p>
    <w:p w:rsidR="0082007C" w:rsidRPr="0082007C" w:rsidRDefault="0082007C" w:rsidP="008200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В целях оказания мер социальной поддержки населения из бюджета города Реутов осуществлено финансирование таких видов расходов, как:</w:t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- оказание материальной помощи на приобретение индивидуальных диагностических средств детей, больных инсулинозависимым сахарным диабетом –   </w:t>
      </w: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 0,4 млн. рублей;</w:t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оказание материальной помощи на приобретение современных лекарственных средств, для лечения больных злокачественными новообразованиями – 6,0 млн. рублей;</w:t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оказание материальной помощи жителям города Реутов на приобретение прочих лекарственных препаратов, не входящих в Список жизненно необходимых и важнейших лекарственных средств  - 1,0 млн. рублей;</w:t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 xml:space="preserve">-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– 1,8 млн. рублей; </w:t>
      </w:r>
    </w:p>
    <w:p w:rsidR="0082007C" w:rsidRPr="0082007C" w:rsidRDefault="0082007C" w:rsidP="00820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sz w:val="24"/>
          <w:szCs w:val="24"/>
        </w:rPr>
        <w:t>- мероприятия по организации отдыха, оздоровления и занятости детей в дни школьных каникул, а также организация работы по трудовой занятости подростков в дни школьных каникул – 16,6 млн. рублей, в том числе за счет средств местного бюджета –       11,9 млн</w:t>
      </w:r>
      <w:proofErr w:type="gramStart"/>
      <w:r w:rsidRPr="00820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007C">
        <w:rPr>
          <w:rFonts w:ascii="Times New Roman" w:hAnsi="Times New Roman" w:cs="Times New Roman"/>
          <w:sz w:val="24"/>
          <w:szCs w:val="24"/>
        </w:rPr>
        <w:t>ублей</w:t>
      </w:r>
    </w:p>
    <w:p w:rsidR="0082007C" w:rsidRPr="0082007C" w:rsidRDefault="0082007C" w:rsidP="008200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007C">
        <w:rPr>
          <w:rFonts w:ascii="Times New Roman" w:hAnsi="Times New Roman" w:cs="Times New Roman"/>
          <w:color w:val="000000"/>
          <w:sz w:val="24"/>
          <w:szCs w:val="24"/>
        </w:rPr>
        <w:t>Превышение расходов над доходами в размере 9,0 млн. рублей (дефицит) обеспечено привлечением остатка средств городского бюджета по итогам 2015 года.</w:t>
      </w: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Расходы на капитальный ремонт, приобретение оборудования по отраслям социально-культурной сферы составили 95,2</w:t>
      </w:r>
      <w:r w:rsidRPr="008200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t>млн. рублей:</w:t>
      </w:r>
    </w:p>
    <w:p w:rsidR="0082007C" w:rsidRPr="0082007C" w:rsidRDefault="0082007C" w:rsidP="0082007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5"/>
        <w:gridCol w:w="1687"/>
        <w:gridCol w:w="2268"/>
      </w:tblGrid>
      <w:tr w:rsidR="0082007C" w:rsidRPr="0082007C" w:rsidTr="00B93DF9">
        <w:trPr>
          <w:trHeight w:val="957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hd w:val="clear" w:color="auto" w:fill="FFFFFF"/>
              <w:spacing w:after="0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Социально-культурная</w:t>
            </w:r>
            <w:r w:rsidRPr="008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сфера</w:t>
            </w:r>
          </w:p>
          <w:p w:rsidR="0082007C" w:rsidRPr="0082007C" w:rsidRDefault="0082007C" w:rsidP="00B93DF9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 w:rsidRPr="0082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hd w:val="clear" w:color="auto" w:fill="FFFFFF"/>
              <w:spacing w:after="0"/>
              <w:ind w:firstLine="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r w:rsidRPr="0082007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 w:rsidRPr="008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бюджет                    </w:t>
            </w:r>
            <w:r w:rsidRPr="0082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млн.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hd w:val="clear" w:color="auto" w:fill="FFFFFF"/>
              <w:spacing w:after="0"/>
              <w:ind w:firstLine="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Областной </w:t>
            </w:r>
            <w:r w:rsidRPr="008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бюджет                    (</w:t>
            </w: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млн. рублей)</w:t>
            </w:r>
          </w:p>
        </w:tc>
      </w:tr>
      <w:tr w:rsidR="0082007C" w:rsidRPr="0082007C" w:rsidTr="00B93DF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b/>
                <w:color w:val="auto"/>
                <w:szCs w:val="24"/>
              </w:rPr>
              <w:t>Образование</w:t>
            </w:r>
            <w:r w:rsidRPr="0082007C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>(58,2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>36,5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>21,7</w:t>
            </w:r>
          </w:p>
        </w:tc>
      </w:tr>
      <w:tr w:rsidR="0082007C" w:rsidRPr="0082007C" w:rsidTr="00B93DF9">
        <w:trPr>
          <w:trHeight w:val="69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Культура</w:t>
            </w:r>
          </w:p>
          <w:p w:rsidR="0082007C" w:rsidRPr="0082007C" w:rsidRDefault="0082007C" w:rsidP="00B93DF9">
            <w:pPr>
              <w:pStyle w:val="a8"/>
              <w:spacing w:after="0" w:line="100" w:lineRule="atLeast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 xml:space="preserve"> (26,7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>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10,0</w:t>
            </w:r>
          </w:p>
        </w:tc>
      </w:tr>
      <w:tr w:rsidR="0082007C" w:rsidRPr="0082007C" w:rsidTr="00B93DF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          (2,0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2007C" w:rsidRPr="0082007C" w:rsidTr="00B93DF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Физкультура</w:t>
            </w:r>
          </w:p>
          <w:p w:rsidR="0082007C" w:rsidRPr="0082007C" w:rsidRDefault="0082007C" w:rsidP="00B93DF9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(8,3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</w:rPr>
              <w:t>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07C" w:rsidRPr="0082007C" w:rsidRDefault="0082007C" w:rsidP="00B93DF9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82007C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2,2</w:t>
            </w:r>
          </w:p>
        </w:tc>
      </w:tr>
    </w:tbl>
    <w:p w:rsidR="0082007C" w:rsidRPr="0082007C" w:rsidRDefault="0082007C" w:rsidP="0082007C">
      <w:pPr>
        <w:pStyle w:val="a8"/>
        <w:spacing w:line="100" w:lineRule="atLeast"/>
        <w:contextualSpacing/>
        <w:rPr>
          <w:rFonts w:ascii="Times New Roman" w:eastAsia="Times New Roman" w:hAnsi="Times New Roman" w:cs="Times New Roman"/>
          <w:szCs w:val="24"/>
        </w:rPr>
      </w:pPr>
    </w:p>
    <w:p w:rsidR="0082007C" w:rsidRPr="0082007C" w:rsidRDefault="0082007C" w:rsidP="0082007C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82007C">
        <w:rPr>
          <w:rFonts w:ascii="Times New Roman" w:eastAsia="Times New Roman" w:hAnsi="Times New Roman" w:cs="Times New Roman"/>
          <w:szCs w:val="24"/>
        </w:rPr>
        <w:t xml:space="preserve">           В 2016 году  продолжалась реализация  программы развития города как </w:t>
      </w:r>
      <w:proofErr w:type="spellStart"/>
      <w:r w:rsidRPr="0082007C">
        <w:rPr>
          <w:rFonts w:ascii="Times New Roman" w:eastAsia="Times New Roman" w:hAnsi="Times New Roman" w:cs="Times New Roman"/>
          <w:szCs w:val="24"/>
        </w:rPr>
        <w:t>наукограда</w:t>
      </w:r>
      <w:proofErr w:type="spellEnd"/>
      <w:r w:rsidRPr="0082007C">
        <w:rPr>
          <w:rFonts w:ascii="Times New Roman" w:eastAsia="Times New Roman" w:hAnsi="Times New Roman" w:cs="Times New Roman"/>
          <w:szCs w:val="24"/>
        </w:rPr>
        <w:t xml:space="preserve">  РФ. На эти цели было выделено из средств федерального бюджета 36,4 млн. рублей,                    в том числе:</w:t>
      </w:r>
    </w:p>
    <w:p w:rsidR="0082007C" w:rsidRPr="0082007C" w:rsidRDefault="0082007C" w:rsidP="0082007C">
      <w:pPr>
        <w:pStyle w:val="a8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82007C">
        <w:rPr>
          <w:rFonts w:ascii="Times New Roman" w:eastAsia="Times New Roman" w:hAnsi="Times New Roman" w:cs="Times New Roman"/>
          <w:szCs w:val="24"/>
        </w:rPr>
        <w:t>- на  учреждение образования -  36,4 млн. рублей (строительство детского сада ул. Гагарина, 20 на 210 мест с бассейном).</w:t>
      </w:r>
    </w:p>
    <w:p w:rsidR="0082007C" w:rsidRPr="0082007C" w:rsidRDefault="0082007C" w:rsidP="0082007C">
      <w:pPr>
        <w:pStyle w:val="a8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82007C" w:rsidRPr="0082007C" w:rsidRDefault="0082007C" w:rsidP="0082007C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007C">
        <w:rPr>
          <w:rFonts w:ascii="Times New Roman" w:eastAsia="Times New Roman" w:hAnsi="Times New Roman" w:cs="Times New Roman"/>
          <w:szCs w:val="24"/>
        </w:rPr>
        <w:t>В 2016 году проведена замена освещения футбольного поля на стадионе «Старт» на сумму 4,7 млн. рублей.</w:t>
      </w:r>
    </w:p>
    <w:p w:rsidR="0082007C" w:rsidRPr="0082007C" w:rsidRDefault="0082007C" w:rsidP="0082007C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szCs w:val="24"/>
        </w:rPr>
      </w:pPr>
      <w:r w:rsidRPr="0082007C">
        <w:rPr>
          <w:rFonts w:ascii="Times New Roman" w:hAnsi="Times New Roman" w:cs="Times New Roman"/>
          <w:szCs w:val="24"/>
        </w:rPr>
        <w:t>В трёх общеобразовательных школах осуществлены работы по реконструкции школьных стадионов на сумму 27,0 млн. рублей.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В целом расходы на содержание и ремонт городских дорог, ремонт дворовых территорий, проездов к дворовым территориям, составили в 2016 году - 101,4 млн. рублей, что меньше израсходованных средств в 2015 году на 52,5 млн. рублей в результате проведения конкурентных процедур, а также в связи ежегодным приведением автомобильных дорог города Реутов к нормативным требованиям транспортно-эксплуатационных показателей, в том числе на: </w:t>
      </w:r>
      <w:proofErr w:type="gramEnd"/>
    </w:p>
    <w:p w:rsidR="0082007C" w:rsidRPr="0082007C" w:rsidRDefault="0082007C" w:rsidP="0082007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-  на содержание дорожного хозяйства – 45,3 млн. рублей, что меньше на 5,7 млн. рублей по сравнению с 2015 годом в результате проведения конкурентных процедур             (в 2015 году  - 51,0 млн. рублей);</w:t>
      </w:r>
    </w:p>
    <w:p w:rsidR="0082007C" w:rsidRPr="0082007C" w:rsidRDefault="0082007C" w:rsidP="0082007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-  на ремонт автомобильных дорог – 14,2 млн. рублей, в том числе за счет субсидии из бюджета Московской области 6,5 млн. рублей, в 2015 году проводились работы по  ремонту дорог сметной стоимостью 72,4 млн. рублей, в том числе за счет субсидии из бюджета Московской области 26,0 млн. руб.;</w:t>
      </w:r>
    </w:p>
    <w:p w:rsidR="0082007C" w:rsidRPr="0082007C" w:rsidRDefault="0082007C" w:rsidP="0082007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07C">
        <w:rPr>
          <w:rFonts w:ascii="Times New Roman" w:eastAsia="Times New Roman" w:hAnsi="Times New Roman" w:cs="Times New Roman"/>
          <w:sz w:val="24"/>
          <w:szCs w:val="24"/>
        </w:rPr>
        <w:t>- на ремонт дворовых территорий, проездов к дворовым территориям многоквартирных жилых домов – 16,4 млн. рублей, в том числе за счет субсидии из бюджета Московской области 5,5 млн. руб., что больше на 5,8 млн. руб. по сравнению с 2015 годом, в 2015 году – 10,6  млн. рублей, в том числе за счет субсидии из бюджета Московской области 3,9 млн. рублей;</w:t>
      </w:r>
      <w:proofErr w:type="gramEnd"/>
    </w:p>
    <w:p w:rsidR="0082007C" w:rsidRPr="0082007C" w:rsidRDefault="0082007C" w:rsidP="0082007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- на ямочный ремонт дворовых территорий 2,5 млн. руб. В 2016 году впервые заложены были расходы на данное мероприятие.</w:t>
      </w:r>
    </w:p>
    <w:p w:rsidR="0082007C" w:rsidRPr="0082007C" w:rsidRDefault="0082007C" w:rsidP="0082007C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007C">
        <w:rPr>
          <w:rFonts w:ascii="Times New Roman" w:eastAsia="Times New Roman" w:hAnsi="Times New Roman" w:cs="Times New Roman"/>
          <w:sz w:val="24"/>
          <w:szCs w:val="24"/>
        </w:rPr>
        <w:t>Кроме того, в рамках подпрограммы «Доступная среда» муниципальной программы "Социальная защита населения города Реутов" на 2015-2019 годы  выполнены работы на сумму 2,5 млн. рублей.</w:t>
      </w:r>
    </w:p>
    <w:p w:rsidR="0082007C" w:rsidRPr="0082007C" w:rsidRDefault="0082007C" w:rsidP="0082007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Расходы на благоустройство в 2016 году составили 137,2 млн. рублей, в том числе на уличное освещение в размере 10,9 млн. рублей; на содержание опор уличного освещения </w:t>
      </w:r>
      <w:r w:rsidRPr="0082007C">
        <w:rPr>
          <w:rFonts w:ascii="Times New Roman" w:eastAsia="Times New Roman" w:hAnsi="Times New Roman" w:cs="Times New Roman"/>
          <w:sz w:val="24"/>
          <w:szCs w:val="24"/>
        </w:rPr>
        <w:lastRenderedPageBreak/>
        <w:t>4,4 млн. рублей; на обеспечение деятельности МБУ «Городское хозяйство и благоустройство» 76,1 млн. руб., что больше на 11,9 млн. руб. по сравнению с 2015 годом;</w:t>
      </w:r>
      <w:proofErr w:type="gramEnd"/>
      <w:r w:rsidRPr="0082007C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детских игровых площадок, спортивных и площадок для выгула собак                    7,2 млн. рублей; на приобретение техники для коммунальных нужд на сумму 4,8 млн. рублей, в том числе за счет областных средств на сумму 3,3 млн. рублей; на приобретение техники для нужд благоустройства (погрузчик фронтальный одноковшовый АМКОДОР 332В) на сумму 3,9 млн. руб., в том числе за счет областных средств на сумму 2,8 млн. рублей.</w:t>
      </w:r>
    </w:p>
    <w:p w:rsidR="0082007C" w:rsidRPr="0082007C" w:rsidRDefault="0082007C" w:rsidP="00820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007C">
        <w:rPr>
          <w:rFonts w:ascii="Times New Roman" w:eastAsia="Calibri" w:hAnsi="Times New Roman" w:cs="Times New Roman"/>
          <w:sz w:val="24"/>
          <w:szCs w:val="24"/>
        </w:rPr>
        <w:t xml:space="preserve">Расходы на замену газового оборудования в муниципальных квартирах жилого фонда города составили 2,0 млн. рублей, что больше на 0,5 млн. руб. по сравнению с 2015 годом. </w:t>
      </w:r>
    </w:p>
    <w:p w:rsidR="0082007C" w:rsidRPr="0082007C" w:rsidRDefault="0082007C" w:rsidP="00820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007C">
        <w:rPr>
          <w:rFonts w:ascii="Times New Roman" w:eastAsia="Calibri" w:hAnsi="Times New Roman" w:cs="Times New Roman"/>
          <w:sz w:val="24"/>
          <w:szCs w:val="24"/>
        </w:rPr>
        <w:t>В 2016 году региональному оператору перечислено 23,2 млн. рублей сборов на капитальный ремонт многоквартирных домов в части муниципальной собственности,</w:t>
      </w:r>
      <w:r w:rsidRPr="0082007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bookmarkStart w:id="1" w:name="__RefHeading__15_1086501024"/>
      <w:bookmarkStart w:id="2" w:name="_GoBack"/>
      <w:bookmarkEnd w:id="1"/>
      <w:bookmarkEnd w:id="2"/>
      <w:r w:rsidRPr="0082007C">
        <w:rPr>
          <w:rFonts w:ascii="Times New Roman" w:eastAsia="Calibri" w:hAnsi="Times New Roman" w:cs="Times New Roman"/>
          <w:sz w:val="24"/>
          <w:szCs w:val="24"/>
        </w:rPr>
        <w:t xml:space="preserve">что больше на 0,3 млн. руб. по сравнению с 2015 годом. </w:t>
      </w:r>
    </w:p>
    <w:p w:rsidR="0082007C" w:rsidRPr="0082007C" w:rsidRDefault="0082007C" w:rsidP="0082007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2007C">
        <w:rPr>
          <w:rFonts w:ascii="Times New Roman" w:hAnsi="Times New Roman" w:cs="Times New Roman"/>
          <w:b/>
          <w:bCs/>
          <w:sz w:val="24"/>
          <w:szCs w:val="24"/>
        </w:rPr>
        <w:t>Удельный вес расходов по разделам в общем объеме расходов</w:t>
      </w:r>
      <w:proofErr w:type="gramStart"/>
      <w:r w:rsidRPr="0082007C">
        <w:rPr>
          <w:rFonts w:ascii="Times New Roman" w:hAnsi="Times New Roman" w:cs="Times New Roman"/>
          <w:b/>
          <w:bCs/>
          <w:sz w:val="24"/>
          <w:szCs w:val="24"/>
        </w:rPr>
        <w:t>, (%)</w:t>
      </w:r>
      <w:proofErr w:type="gramEnd"/>
    </w:p>
    <w:p w:rsidR="0082007C" w:rsidRPr="0082007C" w:rsidRDefault="0082007C" w:rsidP="008200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9660" cy="4193540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2007C" w:rsidRDefault="0082007C" w:rsidP="0082007C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8200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82007C" w:rsidRPr="0082007C" w:rsidRDefault="0082007C" w:rsidP="0082007C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0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Расходы бюджета 2016, (млн</w:t>
      </w:r>
      <w:proofErr w:type="gramStart"/>
      <w:r w:rsidRPr="0082007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2007C">
        <w:rPr>
          <w:rFonts w:ascii="Times New Roman" w:hAnsi="Times New Roman" w:cs="Times New Roman"/>
          <w:b/>
          <w:bCs/>
          <w:sz w:val="24"/>
          <w:szCs w:val="24"/>
        </w:rPr>
        <w:t>уб.)</w:t>
      </w: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sz w:val="24"/>
          <w:szCs w:val="24"/>
        </w:rPr>
      </w:pPr>
      <w:r w:rsidRPr="00820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9660" cy="339471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8200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Расходы бюджета на социальную сферу </w:t>
      </w:r>
    </w:p>
    <w:p w:rsidR="0082007C" w:rsidRPr="0082007C" w:rsidRDefault="0082007C" w:rsidP="0082007C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8200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(76,8% от общего объёма расходов бюджета),%</w:t>
      </w:r>
    </w:p>
    <w:p w:rsidR="0082007C" w:rsidRDefault="0082007C" w:rsidP="0082007C">
      <w:pPr>
        <w:ind w:left="-851"/>
      </w:pPr>
      <w:r>
        <w:rPr>
          <w:noProof/>
        </w:rPr>
        <w:drawing>
          <wp:inline distT="0" distB="0" distL="0" distR="0">
            <wp:extent cx="6169660" cy="339471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007C" w:rsidRDefault="0082007C"/>
    <w:sectPr w:rsidR="0082007C" w:rsidSect="0066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2007C"/>
    <w:rsid w:val="00661253"/>
    <w:rsid w:val="0082007C"/>
    <w:rsid w:val="00BB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2007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4">
    <w:name w:val="Table Grid"/>
    <w:basedOn w:val="a1"/>
    <w:uiPriority w:val="59"/>
    <w:rsid w:val="008200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7C"/>
    <w:rPr>
      <w:rFonts w:ascii="Tahoma" w:hAnsi="Tahoma" w:cs="Tahoma"/>
      <w:sz w:val="16"/>
      <w:szCs w:val="16"/>
    </w:rPr>
  </w:style>
  <w:style w:type="character" w:customStyle="1" w:styleId="a7">
    <w:name w:val="Базовый Знак"/>
    <w:basedOn w:val="a0"/>
    <w:link w:val="a8"/>
    <w:rsid w:val="0082007C"/>
    <w:rPr>
      <w:rFonts w:eastAsia="SimSun" w:cs="Calibri"/>
      <w:color w:val="00000A"/>
      <w:sz w:val="24"/>
    </w:rPr>
  </w:style>
  <w:style w:type="paragraph" w:customStyle="1" w:styleId="a8">
    <w:name w:val="Базовый"/>
    <w:link w:val="a7"/>
    <w:rsid w:val="0082007C"/>
    <w:pPr>
      <w:suppressAutoHyphens/>
      <w:spacing w:after="80" w:line="240" w:lineRule="auto"/>
    </w:pPr>
    <w:rPr>
      <w:rFonts w:eastAsia="SimSun" w:cs="Calibri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080690927147646E-2"/>
          <c:y val="3.6144825331177036E-2"/>
          <c:w val="0.8838832730368178"/>
          <c:h val="0.90216972878390156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20" b="1" i="1" baseline="0"/>
                </a:pPr>
                <a:endParaRPr lang="ru-RU"/>
              </a:p>
            </c:txPr>
            <c:showVal val="1"/>
          </c:dLbls>
          <c:cat>
            <c:strRef>
              <c:f>'Лист1'!$A$2:$A$5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2350.1999999999998</c:v>
                </c:pt>
                <c:pt idx="1">
                  <c:v>2437.4</c:v>
                </c:pt>
                <c:pt idx="2">
                  <c:v>2474.6</c:v>
                </c:pt>
                <c:pt idx="3">
                  <c:v>2542.1999999999998</c:v>
                </c:pt>
              </c:numCache>
            </c:numRef>
          </c:val>
        </c:ser>
        <c:axId val="86011904"/>
        <c:axId val="86013440"/>
      </c:barChart>
      <c:catAx>
        <c:axId val="860119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6013440"/>
        <c:crosses val="autoZero"/>
        <c:auto val="1"/>
        <c:lblAlgn val="ctr"/>
        <c:lblOffset val="100"/>
      </c:catAx>
      <c:valAx>
        <c:axId val="86013440"/>
        <c:scaling>
          <c:orientation val="minMax"/>
          <c:min val="2000"/>
        </c:scaling>
        <c:axPos val="l"/>
        <c:majorGridlines/>
        <c:numFmt formatCode="General" sourceLinked="1"/>
        <c:tickLblPos val="nextTo"/>
        <c:crossAx val="86011904"/>
        <c:crosses val="autoZero"/>
        <c:crossBetween val="between"/>
        <c:majorUnit val="10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3848242927967336"/>
                  <c:y val="-0.15248031496062991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21740777194517374"/>
                  <c:y val="2.7371891013623476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0.60500000000000065</c:v>
                </c:pt>
                <c:pt idx="1">
                  <c:v>0.39500000000000135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969.9</c:v>
                </c:pt>
                <c:pt idx="1">
                  <c:v>662.5</c:v>
                </c:pt>
                <c:pt idx="2">
                  <c:v>785.9</c:v>
                </c:pt>
                <c:pt idx="3">
                  <c:v>780.4</c:v>
                </c:pt>
              </c:numCache>
            </c:numRef>
          </c:val>
        </c:ser>
        <c:axId val="86044672"/>
        <c:axId val="86046208"/>
      </c:barChart>
      <c:catAx>
        <c:axId val="86044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6046208"/>
        <c:crosses val="autoZero"/>
        <c:auto val="1"/>
        <c:lblAlgn val="ctr"/>
        <c:lblOffset val="100"/>
      </c:catAx>
      <c:valAx>
        <c:axId val="86046208"/>
        <c:scaling>
          <c:orientation val="minMax"/>
        </c:scaling>
        <c:axPos val="l"/>
        <c:majorGridlines/>
        <c:numFmt formatCode="General" sourceLinked="1"/>
        <c:tickLblPos val="nextTo"/>
        <c:crossAx val="860446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462.1</c:v>
                </c:pt>
                <c:pt idx="1">
                  <c:v>600.1</c:v>
                </c:pt>
                <c:pt idx="2">
                  <c:v>605.79999999999995</c:v>
                </c:pt>
                <c:pt idx="3">
                  <c:v>509.9</c:v>
                </c:pt>
              </c:numCache>
            </c:numRef>
          </c:val>
        </c:ser>
        <c:axId val="86094592"/>
        <c:axId val="86096128"/>
      </c:barChart>
      <c:catAx>
        <c:axId val="86094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6096128"/>
        <c:crosses val="autoZero"/>
        <c:auto val="1"/>
        <c:lblAlgn val="ctr"/>
        <c:lblOffset val="100"/>
      </c:catAx>
      <c:valAx>
        <c:axId val="86096128"/>
        <c:scaling>
          <c:orientation val="minMax"/>
        </c:scaling>
        <c:axPos val="l"/>
        <c:majorGridlines/>
        <c:numFmt formatCode="General" sourceLinked="1"/>
        <c:tickLblPos val="nextTo"/>
        <c:crossAx val="860945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918.2</c:v>
                </c:pt>
                <c:pt idx="1">
                  <c:v>1174.8</c:v>
                </c:pt>
                <c:pt idx="2">
                  <c:v>1082.9000000000001</c:v>
                </c:pt>
                <c:pt idx="3">
                  <c:v>1251.9000000000001</c:v>
                </c:pt>
              </c:numCache>
            </c:numRef>
          </c:val>
        </c:ser>
        <c:axId val="88016384"/>
        <c:axId val="88017920"/>
      </c:barChart>
      <c:catAx>
        <c:axId val="88016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8017920"/>
        <c:crosses val="autoZero"/>
        <c:auto val="1"/>
        <c:lblAlgn val="ctr"/>
        <c:lblOffset val="100"/>
      </c:catAx>
      <c:valAx>
        <c:axId val="88017920"/>
        <c:scaling>
          <c:orientation val="minMax"/>
        </c:scaling>
        <c:axPos val="l"/>
        <c:majorGridlines/>
        <c:numFmt formatCode="General" sourceLinked="1"/>
        <c:tickLblPos val="nextTo"/>
        <c:crossAx val="880163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8.3000000000000007</c:v>
                </c:pt>
                <c:pt idx="1">
                  <c:v>1.4</c:v>
                </c:pt>
                <c:pt idx="2">
                  <c:v>4.0999999999999996</c:v>
                </c:pt>
                <c:pt idx="3">
                  <c:v>9.1</c:v>
                </c:pt>
                <c:pt idx="4">
                  <c:v>43</c:v>
                </c:pt>
                <c:pt idx="5">
                  <c:v>4.7</c:v>
                </c:pt>
                <c:pt idx="6">
                  <c:v>25</c:v>
                </c:pt>
                <c:pt idx="7">
                  <c:v>2.5</c:v>
                </c:pt>
                <c:pt idx="8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10.4</c:v>
                </c:pt>
                <c:pt idx="1">
                  <c:v>0.9</c:v>
                </c:pt>
                <c:pt idx="2">
                  <c:v>6.5</c:v>
                </c:pt>
                <c:pt idx="3">
                  <c:v>6.1</c:v>
                </c:pt>
                <c:pt idx="4">
                  <c:v>53.6</c:v>
                </c:pt>
                <c:pt idx="5">
                  <c:v>4</c:v>
                </c:pt>
                <c:pt idx="6">
                  <c:v>12.5</c:v>
                </c:pt>
                <c:pt idx="7">
                  <c:v>2.6</c:v>
                </c:pt>
                <c:pt idx="8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6"/>
              <c:layout>
                <c:manualLayout>
                  <c:x val="-1.0555521153387364E-3"/>
                  <c:y val="5.612110919854504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11.4</c:v>
                </c:pt>
                <c:pt idx="1">
                  <c:v>2.2000000000000002</c:v>
                </c:pt>
                <c:pt idx="2">
                  <c:v>6.3</c:v>
                </c:pt>
                <c:pt idx="3">
                  <c:v>7</c:v>
                </c:pt>
                <c:pt idx="4">
                  <c:v>53.6</c:v>
                </c:pt>
                <c:pt idx="5">
                  <c:v>4.3</c:v>
                </c:pt>
                <c:pt idx="6">
                  <c:v>4.0999999999999996</c:v>
                </c:pt>
                <c:pt idx="7">
                  <c:v>2.7</c:v>
                </c:pt>
                <c:pt idx="8">
                  <c:v>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6"/>
              <c:layout>
                <c:manualLayout>
                  <c:x val="-3.0864197530864257E-3"/>
                  <c:y val="-2.24482612871559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12.6</c:v>
                </c:pt>
                <c:pt idx="1">
                  <c:v>1</c:v>
                </c:pt>
                <c:pt idx="2">
                  <c:v>7.2</c:v>
                </c:pt>
                <c:pt idx="3">
                  <c:v>7.2</c:v>
                </c:pt>
                <c:pt idx="4">
                  <c:v>59.8</c:v>
                </c:pt>
                <c:pt idx="5">
                  <c:v>4.5</c:v>
                </c:pt>
                <c:pt idx="6">
                  <c:v>0.4</c:v>
                </c:pt>
                <c:pt idx="7">
                  <c:v>4.5</c:v>
                </c:pt>
                <c:pt idx="8">
                  <c:v>2.7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6"/>
              <c:layout>
                <c:manualLayout>
                  <c:x val="1.0802347623213882E-2"/>
                  <c:y val="8.418097982683470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12.5</c:v>
                </c:pt>
                <c:pt idx="1">
                  <c:v>1.1000000000000001</c:v>
                </c:pt>
                <c:pt idx="2">
                  <c:v>4.3</c:v>
                </c:pt>
                <c:pt idx="3">
                  <c:v>5.4</c:v>
                </c:pt>
                <c:pt idx="4">
                  <c:v>62.1</c:v>
                </c:pt>
                <c:pt idx="5">
                  <c:v>5.5</c:v>
                </c:pt>
                <c:pt idx="6">
                  <c:v>0.5</c:v>
                </c:pt>
                <c:pt idx="7">
                  <c:v>5.9</c:v>
                </c:pt>
                <c:pt idx="8">
                  <c:v>2.7</c:v>
                </c:pt>
              </c:numCache>
            </c:numRef>
          </c:val>
        </c:ser>
        <c:overlap val="100"/>
        <c:axId val="88608128"/>
        <c:axId val="88618112"/>
      </c:barChart>
      <c:catAx>
        <c:axId val="88608128"/>
        <c:scaling>
          <c:orientation val="minMax"/>
        </c:scaling>
        <c:axPos val="l"/>
        <c:numFmt formatCode="General" sourceLinked="1"/>
        <c:tickLblPos val="nextTo"/>
        <c:crossAx val="88618112"/>
        <c:crosses val="autoZero"/>
        <c:auto val="1"/>
        <c:lblAlgn val="ctr"/>
        <c:lblOffset val="100"/>
      </c:catAx>
      <c:valAx>
        <c:axId val="8861811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8608128"/>
        <c:crosses val="autoZero"/>
        <c:crossBetween val="between"/>
        <c:majorUnit val="0.1"/>
      </c:valAx>
    </c:plotArea>
    <c:legend>
      <c:legendPos val="t"/>
    </c:legend>
    <c:plotVisOnly val="1"/>
    <c:dispBlanksAs val="gap"/>
  </c:chart>
  <c:txPr>
    <a:bodyPr/>
    <a:lstStyle/>
    <a:p>
      <a:pPr>
        <a:defRPr sz="1200" b="1" baseline="0">
          <a:latin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Первоначальное утверждение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за счет местного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2411.4</c:v>
                </c:pt>
                <c:pt idx="1">
                  <c:v>1354.6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за счет местного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2551.1999999999998</c:v>
                </c:pt>
                <c:pt idx="1">
                  <c:v>1369.4</c:v>
                </c:pt>
              </c:numCache>
            </c:numRef>
          </c:val>
        </c:ser>
        <c:axId val="88663936"/>
        <c:axId val="88665472"/>
      </c:barChart>
      <c:catAx>
        <c:axId val="88663936"/>
        <c:scaling>
          <c:orientation val="minMax"/>
        </c:scaling>
        <c:axPos val="b"/>
        <c:numFmt formatCode="General" sourceLinked="1"/>
        <c:tickLblPos val="nextTo"/>
        <c:crossAx val="88665472"/>
        <c:crosses val="autoZero"/>
        <c:auto val="1"/>
        <c:lblAlgn val="ctr"/>
        <c:lblOffset val="100"/>
      </c:catAx>
      <c:valAx>
        <c:axId val="88665472"/>
        <c:scaling>
          <c:orientation val="minMax"/>
        </c:scaling>
        <c:axPos val="l"/>
        <c:majorGridlines/>
        <c:numFmt formatCode="General" sourceLinked="1"/>
        <c:tickLblPos val="nextTo"/>
        <c:crossAx val="8866393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2824195586662844E-2"/>
                  <c:y val="-7.688220164415843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80,9</a:t>
                    </a:r>
                    <a:r>
                      <a:rPr lang="ru-RU" smtClean="0"/>
                      <a:t>%</a:t>
                    </a:r>
                    <a:endParaRPr lang="en-US" dirty="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7.443861184018693E-3"/>
                  <c:y val="1.889763570758314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0,7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8.3971881986973848E-3"/>
                  <c:y val="9.2214629240230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7,2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3,5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4"/>
              <c:layout>
                <c:manualLayout>
                  <c:x val="1.745996160202197E-2"/>
                  <c:y val="1.720142210619043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mtClean="0"/>
                      <a:t>7,8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pPr/>
              <c:dLblPos val="bestFit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  <c:pt idx="3">
                  <c:v>физическая культура и спорт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80.900000000000006</c:v>
                </c:pt>
                <c:pt idx="1">
                  <c:v>0.70000000000000029</c:v>
                </c:pt>
                <c:pt idx="2">
                  <c:v>7.2</c:v>
                </c:pt>
                <c:pt idx="3">
                  <c:v>3.5</c:v>
                </c:pt>
                <c:pt idx="4">
                  <c:v>7.8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200" b="1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1835</Words>
  <Characters>10464</Characters>
  <Application>Microsoft Office Word</Application>
  <DocSecurity>0</DocSecurity>
  <Lines>87</Lines>
  <Paragraphs>24</Paragraphs>
  <ScaleCrop>false</ScaleCrop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smirnovaea</dc:creator>
  <cp:keywords/>
  <dc:description/>
  <cp:lastModifiedBy>smirnovaea</cp:lastModifiedBy>
  <cp:revision>3</cp:revision>
  <dcterms:created xsi:type="dcterms:W3CDTF">2017-04-07T14:17:00Z</dcterms:created>
  <dcterms:modified xsi:type="dcterms:W3CDTF">2017-04-12T15:07:00Z</dcterms:modified>
</cp:coreProperties>
</file>