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6B6695" w14:paraId="349BFA5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3D5" w14:textId="77777777" w:rsidR="006B6695" w:rsidRDefault="006B6695">
            <w:bookmarkStart w:id="0" w:name="_GoBack"/>
            <w:bookmarkEnd w:id="0"/>
          </w:p>
        </w:tc>
      </w:tr>
      <w:tr w:rsidR="006B6695" w14:paraId="4E6A9593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E53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6B6695" w14:paraId="1372B832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39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6B6695" w14:paraId="764334A6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C30" w14:textId="77777777" w:rsidR="006B6695" w:rsidRDefault="006836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300D65DB" w14:textId="77777777" w:rsidR="006B6695" w:rsidRDefault="00683640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2ED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14:paraId="375932B3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73FAC422" w14:textId="77777777" w:rsidR="006B6695" w:rsidRDefault="00683640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0B47BE84" w14:textId="77777777" w:rsidR="006B6695" w:rsidRDefault="006B6695">
      <w:pPr>
        <w:pStyle w:val="a5"/>
        <w:widowControl w:val="0"/>
        <w:ind w:left="216" w:hanging="216"/>
      </w:pPr>
    </w:p>
    <w:p w14:paraId="5E41998F" w14:textId="77777777" w:rsidR="006B6695" w:rsidRDefault="006B6695">
      <w:pPr>
        <w:spacing w:line="360" w:lineRule="auto"/>
        <w:jc w:val="right"/>
        <w:rPr>
          <w:i/>
          <w:iCs/>
          <w:sz w:val="20"/>
          <w:szCs w:val="20"/>
        </w:rPr>
      </w:pPr>
    </w:p>
    <w:p w14:paraId="15ACFBD0" w14:textId="39431324" w:rsidR="006B6695" w:rsidRDefault="0068364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>П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олучить </w:t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согласование строительства (реконструкции) объектов в зонах </w:t>
      </w:r>
      <w:r w:rsid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охраняемых объектов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Подмосковье теперь можно в режиме онлайн </w:t>
      </w:r>
    </w:p>
    <w:p w14:paraId="28450D84" w14:textId="77777777" w:rsidR="006B6695" w:rsidRDefault="006B6695">
      <w:pPr>
        <w:shd w:val="clear" w:color="auto" w:fill="FFFFFF"/>
        <w:ind w:firstLine="567"/>
        <w:jc w:val="both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244835" w14:textId="4C4D91B1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 w:rsidR="00F80E5C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17169"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сентября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года услуга «</w:t>
      </w:r>
      <w:r w:rsidR="00BD4E16" w:rsidRPr="00BD4E16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Согласование строительства (реконструкции) объектов в зонах охраняемых объектов и на прилегающих территориях к трассам проезда (передвижения) объектов государственной охраны на территории Московской области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доступна в электронном виде на портале государственных и муниципальных услуг Московской области (далее </w:t>
      </w:r>
      <w:bookmarkStart w:id="1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bookmarkEnd w:id="1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</w:t>
      </w:r>
      <w:r w:rsidR="00717B39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387BAE" w:rsidRP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0E5C" w:rsidRPr="005A3DCF">
        <w:rPr>
          <w:sz w:val="26"/>
          <w:szCs w:val="26"/>
        </w:rPr>
        <w:t>https://uslugi.mosreg.ru/services/21289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7FF9683" w14:textId="7FB2DACE" w:rsidR="000E01A8" w:rsidRDefault="009C11F1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C11F1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предназначена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 w:rsid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правообладателей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земельных участков, находящихся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15092E" w:rsidRP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 зонах охраняемых объектов</w:t>
      </w:r>
      <w:r w:rsidR="00E72C40" w:rsidRPr="00E72C40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и на прилегающих территориях к трассам проезда (передвижения) объектов</w:t>
      </w:r>
      <w:r w:rsid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Федеральной службы охраны Российской Федерации</w:t>
      </w:r>
      <w:r w:rsid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(далее </w:t>
      </w:r>
      <w:r w:rsidR="00E52292"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ФСО России)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811AA2A" w14:textId="41A7B251" w:rsidR="00E72C40" w:rsidRDefault="000E01A8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Информация о наличии </w:t>
      </w:r>
      <w:r w:rsidR="00B7715F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бременения (ограничения)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земельного участка в части необходимости получения согласования строительства (реконструкции) объектов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ФСО России указыва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тся в градостроительном плане земельного участка.</w:t>
      </w:r>
    </w:p>
    <w:p w14:paraId="2232E68C" w14:textId="50A07F8F" w:rsidR="006B6695" w:rsidRDefault="00683640" w:rsidP="0015092E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Мы продолжаем активную работу по цифровизации градостроительного блока Подмосковья. В целях оптимизации и повышения качества услуги по выдаче согласования строительства (реконструкции) объектов в зонах охраняемых объектов между Правительством Московской области и Федеральной службой охраны Российской Федерации заключено соглашение о сотрудничестве, предметом которого стала оптимизация процедур, перевод госуслуги в электронный вид и ее предоставление посредством РПГУ МО. В среднем за этой услугой обраща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тся более 3-х тысяч заявителей в год. Сейчас срок предоставления услуги составляет 60 календарных дней, ранее, 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 оптимизации получени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подобного согласования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, предоставление услуги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могло занимать до 3-х месяцев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», – рассказал председатель Комитета по архитектуре и градостроительству Московской области Владислав Гордиенко. </w:t>
      </w:r>
    </w:p>
    <w:p w14:paraId="15C35E81" w14:textId="00F66CFC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</w:t>
      </w:r>
      <w:r w:rsidR="00E07C9B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доступна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физических, юридических лиц, индивидуальных предпринимателей и их представителей. </w:t>
      </w:r>
    </w:p>
    <w:p w14:paraId="030D45F2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2F41088A" w14:textId="71E03617" w:rsidR="006B6695" w:rsidRDefault="00683640">
      <w:pPr>
        <w:shd w:val="clear" w:color="auto" w:fill="FFFFFF"/>
        <w:suppressAutoHyphens/>
        <w:ind w:firstLine="567"/>
        <w:jc w:val="both"/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Порядок и условия предоставления услуги представлены на РПГУ МО</w:t>
      </w:r>
      <w:r w:rsidR="0060668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F80E5C" w:rsidRPr="005A3DCF">
        <w:rPr>
          <w:sz w:val="26"/>
          <w:szCs w:val="26"/>
        </w:rPr>
        <w:t>https://uslugi.mosreg.ru/services/</w:t>
      </w:r>
      <w:r w:rsidR="00F80E5C" w:rsidRPr="00F80E5C">
        <w:rPr>
          <w:sz w:val="26"/>
          <w:szCs w:val="26"/>
        </w:rPr>
        <w:t>21289</w:t>
      </w:r>
      <w:r w:rsidRPr="00F80E5C">
        <w:rPr>
          <w:rStyle w:val="a7"/>
        </w:rPr>
        <w:t>.</w:t>
      </w:r>
    </w:p>
    <w:p w14:paraId="6CF175BE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35779E68" w14:textId="77777777" w:rsidR="006B6695" w:rsidRDefault="00683640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732627FD" w14:textId="28FA0B29" w:rsidR="008D0B95" w:rsidRPr="00AA71AC" w:rsidRDefault="00683640" w:rsidP="00AA71AC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8D0B95" w:rsidRPr="00AA71AC"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1DDF" w14:textId="77777777" w:rsidR="00FF5795" w:rsidRDefault="00FF5795">
      <w:pPr>
        <w:spacing w:line="240" w:lineRule="auto"/>
      </w:pPr>
      <w:r>
        <w:separator/>
      </w:r>
    </w:p>
  </w:endnote>
  <w:endnote w:type="continuationSeparator" w:id="0">
    <w:p w14:paraId="506A181F" w14:textId="77777777" w:rsidR="00FF5795" w:rsidRDefault="00FF5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7A8CF" w14:textId="77777777" w:rsidR="00FF5795" w:rsidRDefault="00FF5795">
      <w:pPr>
        <w:spacing w:line="240" w:lineRule="auto"/>
      </w:pPr>
      <w:r>
        <w:separator/>
      </w:r>
    </w:p>
  </w:footnote>
  <w:footnote w:type="continuationSeparator" w:id="0">
    <w:p w14:paraId="52515B58" w14:textId="77777777" w:rsidR="00FF5795" w:rsidRDefault="00FF5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95"/>
    <w:rsid w:val="00050F56"/>
    <w:rsid w:val="00065E8D"/>
    <w:rsid w:val="000E01A8"/>
    <w:rsid w:val="00101D5B"/>
    <w:rsid w:val="001228F9"/>
    <w:rsid w:val="0013406A"/>
    <w:rsid w:val="0015092E"/>
    <w:rsid w:val="00203094"/>
    <w:rsid w:val="0027524D"/>
    <w:rsid w:val="00280127"/>
    <w:rsid w:val="00295AB2"/>
    <w:rsid w:val="0031210B"/>
    <w:rsid w:val="00342FE7"/>
    <w:rsid w:val="00387BAE"/>
    <w:rsid w:val="003A43BA"/>
    <w:rsid w:val="0042554E"/>
    <w:rsid w:val="00585EE6"/>
    <w:rsid w:val="005A65B4"/>
    <w:rsid w:val="005C7349"/>
    <w:rsid w:val="005D6101"/>
    <w:rsid w:val="00606682"/>
    <w:rsid w:val="00607A97"/>
    <w:rsid w:val="00650FA7"/>
    <w:rsid w:val="00683640"/>
    <w:rsid w:val="006B6695"/>
    <w:rsid w:val="00717B39"/>
    <w:rsid w:val="00775166"/>
    <w:rsid w:val="00791BA1"/>
    <w:rsid w:val="007C3E70"/>
    <w:rsid w:val="007E3DA9"/>
    <w:rsid w:val="008D0B95"/>
    <w:rsid w:val="00904D0F"/>
    <w:rsid w:val="00923D1E"/>
    <w:rsid w:val="0098639D"/>
    <w:rsid w:val="0099784F"/>
    <w:rsid w:val="009C11F1"/>
    <w:rsid w:val="009F0EB0"/>
    <w:rsid w:val="00A111CD"/>
    <w:rsid w:val="00A95BAE"/>
    <w:rsid w:val="00AA71AC"/>
    <w:rsid w:val="00B7715F"/>
    <w:rsid w:val="00BB27FD"/>
    <w:rsid w:val="00BC2C35"/>
    <w:rsid w:val="00BD4E16"/>
    <w:rsid w:val="00C17169"/>
    <w:rsid w:val="00CF228B"/>
    <w:rsid w:val="00D13B96"/>
    <w:rsid w:val="00DB6220"/>
    <w:rsid w:val="00DC2416"/>
    <w:rsid w:val="00DC42C0"/>
    <w:rsid w:val="00DC4AD5"/>
    <w:rsid w:val="00E07C9B"/>
    <w:rsid w:val="00E52292"/>
    <w:rsid w:val="00E65D42"/>
    <w:rsid w:val="00E72C40"/>
    <w:rsid w:val="00EE1683"/>
    <w:rsid w:val="00F16CBE"/>
    <w:rsid w:val="00F80E5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F5D"/>
  <w15:docId w15:val="{4705FC4F-B2F6-4652-B641-931EDF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387BA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863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3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39D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3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39D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986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639D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header"/>
    <w:basedOn w:val="a"/>
    <w:link w:val="af0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1AC"/>
    <w:rPr>
      <w:rFonts w:cs="Arial Unicode MS"/>
      <w:color w:val="000000"/>
      <w:sz w:val="28"/>
      <w:szCs w:val="28"/>
      <w:u w:color="000000"/>
    </w:rPr>
  </w:style>
  <w:style w:type="paragraph" w:styleId="af1">
    <w:name w:val="footer"/>
    <w:basedOn w:val="a"/>
    <w:link w:val="af2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1A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05C7-8DB1-4624-BADF-76B34B5B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dc:description>exif_MSED_e11098fa72ac260871cd18ad7ab0adb4108ed2c5c515ffb4686c559df18a0782</dc:description>
  <cp:lastModifiedBy>adm6</cp:lastModifiedBy>
  <cp:revision>2</cp:revision>
  <dcterms:created xsi:type="dcterms:W3CDTF">2020-10-06T06:18:00Z</dcterms:created>
  <dcterms:modified xsi:type="dcterms:W3CDTF">2020-10-06T06:18:00Z</dcterms:modified>
</cp:coreProperties>
</file>