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D9" w:rsidRPr="006F6ED9" w:rsidRDefault="006F6ED9" w:rsidP="006F6ED9">
      <w:pPr>
        <w:keepNext/>
        <w:spacing w:after="0" w:line="100" w:lineRule="atLeast"/>
        <w:ind w:left="5103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6F6ED9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Приложение 3</w:t>
      </w:r>
    </w:p>
    <w:p w:rsidR="006F6ED9" w:rsidRPr="006F6ED9" w:rsidRDefault="006F6ED9" w:rsidP="006F6ED9">
      <w:pPr>
        <w:spacing w:after="0" w:line="100" w:lineRule="atLeast"/>
        <w:ind w:left="5103"/>
        <w:jc w:val="both"/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</w:pPr>
      <w:r w:rsidRPr="006F6ED9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к Административному регламенту </w:t>
      </w:r>
    </w:p>
    <w:p w:rsidR="006F6ED9" w:rsidRPr="006F6ED9" w:rsidRDefault="006F6ED9" w:rsidP="006F6ED9">
      <w:pPr>
        <w:keepNext/>
        <w:spacing w:after="0" w:line="100" w:lineRule="atLeast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bookmarkStart w:id="0" w:name="_Toc468470766"/>
      <w:r w:rsidRPr="006F6ED9"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  <w:t>Порядок получения заинтересованными лицами информации по вопросам предоставления Государственной услуги, сведений о ходе предоставления Государственной услуги, порядке, форме и месте размещения информации о порядке предоставления Государственной услуги</w:t>
      </w:r>
      <w:bookmarkEnd w:id="0"/>
    </w:p>
    <w:p w:rsidR="006F6ED9" w:rsidRPr="006F6ED9" w:rsidRDefault="006F6ED9" w:rsidP="006F6ED9">
      <w:pPr>
        <w:tabs>
          <w:tab w:val="num" w:pos="0"/>
          <w:tab w:val="left" w:pos="1134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1.Информация о предоставлении Государственной услуги размещается в электронном виде: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1) на официальном сайте Администрации городского округа Реутов Московской области – http://reutov.net/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 xml:space="preserve">2) на официальном сайте МФЦ; 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3) на порталах uslugi.mosreg.ru, gosuslugi.ru на страницах, посвященных Государственной услуге.</w:t>
      </w:r>
    </w:p>
    <w:p w:rsidR="006F6ED9" w:rsidRPr="006F6ED9" w:rsidRDefault="006F6ED9" w:rsidP="006F6ED9">
      <w:pPr>
        <w:tabs>
          <w:tab w:val="num" w:pos="0"/>
          <w:tab w:val="left" w:pos="1134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2. Размещенная в электронном виде информация о предоставлении Государственной услуги должна включать в себя: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  <w:r w:rsidRPr="006F6ED9">
        <w:rPr>
          <w:rFonts w:ascii="Times New Roman" w:eastAsia="Calibri" w:hAnsi="Times New Roman"/>
          <w:sz w:val="24"/>
          <w:szCs w:val="24"/>
        </w:rPr>
        <w:t>1) наименование, почтовые адреса, справочные номера телефонов, адреса электронной почты, адреса сайтов МФЦ;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2) график работы МФЦ;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3) требования к Заявлению и прилагаемым к нему документам (включая их перечень);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4) выдержки из правовых актов, в части касающейся Государственной услуги;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 xml:space="preserve"> 5) текст Административного Регламента;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 xml:space="preserve">6) краткое описание порядка предоставления Государственной услуги; </w:t>
      </w:r>
    </w:p>
    <w:p w:rsidR="006F6ED9" w:rsidRPr="006F6ED9" w:rsidRDefault="006F6ED9" w:rsidP="006F6ED9">
      <w:pPr>
        <w:tabs>
          <w:tab w:val="left" w:pos="709"/>
        </w:tabs>
        <w:spacing w:after="0" w:line="100" w:lineRule="atLeast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7)образцы оформления документов, необходимых для получения Государственной услуги, и требования к ним;</w:t>
      </w:r>
    </w:p>
    <w:p w:rsidR="006F6ED9" w:rsidRPr="006F6ED9" w:rsidRDefault="006F6ED9" w:rsidP="006F6ED9">
      <w:pPr>
        <w:tabs>
          <w:tab w:val="left" w:pos="709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ab/>
        <w:t>8)перечень типовых, наиболее актуальных вопросов, относящихся  к Государственной услуге, и ответы на них.</w:t>
      </w:r>
    </w:p>
    <w:p w:rsidR="006F6ED9" w:rsidRPr="006F6ED9" w:rsidRDefault="006F6ED9" w:rsidP="006F6ED9">
      <w:pPr>
        <w:tabs>
          <w:tab w:val="num" w:pos="0"/>
          <w:tab w:val="left" w:pos="1134"/>
        </w:tabs>
        <w:spacing w:after="0" w:line="10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3. Информация, указанная в пункте 2 настоящего Приложения  к Административному регламенту предоставляется также специалистами Администрации,  МФЦ при обращении Заявителей (представителей Заявителей):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1) лично;</w:t>
      </w:r>
    </w:p>
    <w:p w:rsidR="006F6ED9" w:rsidRPr="006F6ED9" w:rsidRDefault="006F6ED9" w:rsidP="006F6ED9">
      <w:pPr>
        <w:tabs>
          <w:tab w:val="left" w:pos="708"/>
        </w:tabs>
        <w:spacing w:after="0" w:line="10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F6ED9">
        <w:rPr>
          <w:rFonts w:ascii="Times New Roman" w:eastAsia="Calibri" w:hAnsi="Times New Roman"/>
          <w:sz w:val="24"/>
          <w:szCs w:val="24"/>
        </w:rPr>
        <w:t>2) по почте, в том числе электронной;</w:t>
      </w:r>
    </w:p>
    <w:p w:rsidR="006F6ED9" w:rsidRPr="006F6ED9" w:rsidRDefault="006F6ED9" w:rsidP="006F6ED9">
      <w:pPr>
        <w:spacing w:after="0" w:line="100" w:lineRule="atLeast"/>
        <w:ind w:left="-15"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3) по телефонам, указанным в Приложении 2 к настоящему Административному Регламенту.</w:t>
      </w:r>
    </w:p>
    <w:p w:rsidR="006F6ED9" w:rsidRPr="006F6ED9" w:rsidRDefault="006F6ED9" w:rsidP="006F6ED9">
      <w:pPr>
        <w:tabs>
          <w:tab w:val="left" w:pos="1134"/>
        </w:tabs>
        <w:spacing w:after="0" w:line="100" w:lineRule="atLeast"/>
        <w:ind w:left="-15"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4.</w:t>
      </w: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Консультирование по вопросам предоставления Государственной услуги сотрудниками МФЦ и Администрации осуществляется бесплатно.</w:t>
      </w:r>
    </w:p>
    <w:p w:rsidR="006F6ED9" w:rsidRPr="006F6ED9" w:rsidRDefault="006F6ED9" w:rsidP="006F6ED9">
      <w:pPr>
        <w:tabs>
          <w:tab w:val="left" w:pos="1134"/>
        </w:tabs>
        <w:spacing w:after="0" w:line="100" w:lineRule="atLeast"/>
        <w:ind w:left="-15"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5.</w:t>
      </w: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Информирование Заявителей (представителей Заявителей)                                       о порядке предоставления Государственной услуги осуществляется также по телефону «горячей линии» 8-800-550-50-30.</w:t>
      </w:r>
    </w:p>
    <w:p w:rsidR="006F6ED9" w:rsidRPr="006F6ED9" w:rsidRDefault="006F6ED9" w:rsidP="006F6ED9">
      <w:pPr>
        <w:tabs>
          <w:tab w:val="left" w:pos="1134"/>
        </w:tabs>
        <w:spacing w:after="0" w:line="100" w:lineRule="atLeast"/>
        <w:ind w:left="-15"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6.</w:t>
      </w: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 xml:space="preserve">Информация о предоставлении Государственной услуги размещается в помещениях Администрации и МФЦ, предназначенных для приема Заявителей (представителей Заявителей). </w:t>
      </w:r>
    </w:p>
    <w:p w:rsidR="006F6ED9" w:rsidRPr="006F6ED9" w:rsidRDefault="006F6ED9" w:rsidP="006F6ED9">
      <w:pPr>
        <w:tabs>
          <w:tab w:val="left" w:pos="1134"/>
        </w:tabs>
        <w:spacing w:after="0" w:line="100" w:lineRule="atLeast"/>
        <w:ind w:left="-15"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7.</w:t>
      </w: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 xml:space="preserve"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  в МФЦ. </w:t>
      </w:r>
    </w:p>
    <w:p w:rsidR="006F6ED9" w:rsidRPr="006F6ED9" w:rsidRDefault="006F6ED9" w:rsidP="006F6ED9">
      <w:pPr>
        <w:tabs>
          <w:tab w:val="left" w:pos="1134"/>
        </w:tabs>
        <w:spacing w:after="0" w:line="100" w:lineRule="atLeast"/>
        <w:ind w:left="-15"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8.</w:t>
      </w:r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</w:r>
      <w:proofErr w:type="gramStart"/>
      <w:r w:rsidRPr="006F6ED9">
        <w:rPr>
          <w:rFonts w:ascii="Times New Roman" w:eastAsia="Courier New" w:hAnsi="Times New Roman"/>
          <w:color w:val="000000"/>
          <w:kern w:val="2"/>
          <w:sz w:val="24"/>
          <w:szCs w:val="24"/>
        </w:rPr>
        <w:t>Обеспечение бесплатного доступа Заявителей (представителей Заявителя) к РПГУ на базе МФЦ, в том числе консультирование по вопросам предоставления Государственной услуги  осуществляется в соответствии с  требованиями регионального стандарта организации деятельности многофункциональных центров предоставления государственных 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:rsidR="009E2868" w:rsidRPr="006F6ED9" w:rsidRDefault="009E2868">
      <w:pPr>
        <w:rPr>
          <w:sz w:val="24"/>
          <w:szCs w:val="24"/>
        </w:rPr>
      </w:pPr>
    </w:p>
    <w:sectPr w:rsidR="009E2868" w:rsidRPr="006F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D9"/>
    <w:rsid w:val="006F6ED9"/>
    <w:rsid w:val="009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Заретская Е. В.</dc:creator>
  <cp:keywords/>
  <dc:description/>
  <cp:lastModifiedBy>Заретская Е. В.</cp:lastModifiedBy>
  <cp:revision>1</cp:revision>
  <dcterms:created xsi:type="dcterms:W3CDTF">2018-06-27T12:09:00Z</dcterms:created>
  <dcterms:modified xsi:type="dcterms:W3CDTF">2018-06-27T12:09:00Z</dcterms:modified>
</cp:coreProperties>
</file>