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B0" w:rsidRPr="004E7613" w:rsidRDefault="00165AB0" w:rsidP="004E7613">
      <w:pPr>
        <w:spacing w:after="0" w:line="240" w:lineRule="auto"/>
        <w:jc w:val="center"/>
        <w:rPr>
          <w:rFonts w:ascii="Times New Roman" w:eastAsia="Times New Roman" w:hAnsi="Times New Roman" w:cs="Times New Roman"/>
          <w:b/>
          <w:bCs/>
          <w:color w:val="333333"/>
          <w:sz w:val="28"/>
          <w:szCs w:val="28"/>
        </w:rPr>
      </w:pPr>
      <w:r w:rsidRPr="004E7613">
        <w:rPr>
          <w:rFonts w:ascii="Times New Roman" w:eastAsia="Times New Roman" w:hAnsi="Times New Roman" w:cs="Times New Roman"/>
          <w:b/>
          <w:bCs/>
          <w:color w:val="333333"/>
          <w:sz w:val="28"/>
          <w:szCs w:val="28"/>
        </w:rPr>
        <w:t>Исключительная компетенция прокурора по делам об административных правонарушениях в арбитражном процессе</w:t>
      </w:r>
    </w:p>
    <w:p w:rsidR="00165AB0" w:rsidRPr="004E7613" w:rsidRDefault="00165AB0" w:rsidP="004E7613">
      <w:pPr>
        <w:spacing w:after="0" w:line="240" w:lineRule="auto"/>
        <w:rPr>
          <w:rFonts w:ascii="Times New Roman" w:eastAsia="Times New Roman" w:hAnsi="Times New Roman" w:cs="Times New Roman"/>
          <w:sz w:val="28"/>
          <w:szCs w:val="28"/>
        </w:rPr>
      </w:pPr>
      <w:r w:rsidRPr="004E7613">
        <w:rPr>
          <w:rFonts w:ascii="Times New Roman" w:eastAsia="Times New Roman" w:hAnsi="Times New Roman" w:cs="Times New Roman"/>
          <w:sz w:val="28"/>
          <w:szCs w:val="28"/>
        </w:rPr>
        <w:t> </w:t>
      </w:r>
      <w:r w:rsidRPr="004E7613">
        <w:rPr>
          <w:rFonts w:ascii="Times New Roman" w:eastAsia="Times New Roman" w:hAnsi="Times New Roman" w:cs="Times New Roman"/>
          <w:color w:val="FFFFFF"/>
          <w:sz w:val="28"/>
          <w:szCs w:val="28"/>
        </w:rPr>
        <w:t>Текст</w:t>
      </w:r>
      <w:r w:rsidRPr="004E7613">
        <w:rPr>
          <w:rFonts w:ascii="Times New Roman" w:eastAsia="Times New Roman" w:hAnsi="Times New Roman" w:cs="Times New Roman"/>
          <w:sz w:val="28"/>
          <w:szCs w:val="28"/>
        </w:rPr>
        <w:t> </w:t>
      </w:r>
      <w:r w:rsidRPr="004E7613">
        <w:rPr>
          <w:rFonts w:ascii="Times New Roman" w:eastAsia="Times New Roman" w:hAnsi="Times New Roman" w:cs="Times New Roman"/>
          <w:color w:val="FFFFFF"/>
          <w:sz w:val="28"/>
          <w:szCs w:val="28"/>
        </w:rPr>
        <w:t>Поделиться</w:t>
      </w:r>
    </w:p>
    <w:p w:rsidR="00165AB0" w:rsidRPr="004E7613" w:rsidRDefault="004E7613" w:rsidP="004E7613">
      <w:pPr>
        <w:shd w:val="clear" w:color="auto" w:fill="FFFFFF"/>
        <w:spacing w:after="0" w:line="240" w:lineRule="auto"/>
        <w:jc w:val="both"/>
        <w:rPr>
          <w:rFonts w:ascii="Times New Roman" w:eastAsia="Times New Roman" w:hAnsi="Times New Roman" w:cs="Times New Roman"/>
          <w:color w:val="333333"/>
          <w:sz w:val="28"/>
          <w:szCs w:val="28"/>
        </w:rPr>
      </w:pPr>
      <w:r w:rsidRPr="004E7613">
        <w:rPr>
          <w:rFonts w:ascii="Times New Roman" w:eastAsia="Times New Roman" w:hAnsi="Times New Roman" w:cs="Times New Roman"/>
          <w:color w:val="333333"/>
          <w:sz w:val="28"/>
          <w:szCs w:val="28"/>
        </w:rPr>
        <w:tab/>
      </w:r>
      <w:r w:rsidR="00165AB0" w:rsidRPr="004E7613">
        <w:rPr>
          <w:rFonts w:ascii="Times New Roman" w:eastAsia="Times New Roman" w:hAnsi="Times New Roman" w:cs="Times New Roman"/>
          <w:color w:val="333333"/>
          <w:sz w:val="28"/>
          <w:szCs w:val="28"/>
        </w:rPr>
        <w:t>В соответствии с главой 23 КоАП РФ дела об административных правонарушениях рассматривают в том числе арбитражные суды. К компетенции арбитражного суда относится рассмотрение дел об административных правонарушениях, рассмотрение которых регламентируется главой 25 Арбитражного процессуального кодекса Российской Федерации.</w:t>
      </w:r>
    </w:p>
    <w:p w:rsidR="00165AB0" w:rsidRPr="004E7613" w:rsidRDefault="004E7613" w:rsidP="004E7613">
      <w:pPr>
        <w:shd w:val="clear" w:color="auto" w:fill="FFFFFF"/>
        <w:spacing w:after="0" w:line="240" w:lineRule="auto"/>
        <w:jc w:val="both"/>
        <w:rPr>
          <w:rFonts w:ascii="Times New Roman" w:eastAsia="Times New Roman" w:hAnsi="Times New Roman" w:cs="Times New Roman"/>
          <w:color w:val="333333"/>
          <w:sz w:val="28"/>
          <w:szCs w:val="28"/>
        </w:rPr>
      </w:pPr>
      <w:r w:rsidRPr="004E7613">
        <w:rPr>
          <w:rFonts w:ascii="Times New Roman" w:eastAsia="Times New Roman" w:hAnsi="Times New Roman" w:cs="Times New Roman"/>
          <w:color w:val="333333"/>
          <w:sz w:val="28"/>
          <w:szCs w:val="28"/>
        </w:rPr>
        <w:tab/>
      </w:r>
      <w:r w:rsidR="00165AB0" w:rsidRPr="004E7613">
        <w:rPr>
          <w:rFonts w:ascii="Times New Roman" w:eastAsia="Times New Roman" w:hAnsi="Times New Roman" w:cs="Times New Roman"/>
          <w:color w:val="333333"/>
          <w:sz w:val="28"/>
          <w:szCs w:val="28"/>
        </w:rPr>
        <w:t>Частью 2 статьи 21 Федерального закона от 17.01.1992 № 2202-1 «О прокуратуре Российской Федерации» установлено, что при осуществлении надзора за исполнением законов органы прокуратуры не подменяют иные государственные органы. Данное положение Федерального закона прежде всего распространяется на случаи возбуждения прокурором дел об административных правонарушениях, поскольку, помимо него, полномочием на возбуждение подобных дел, за исключением перечисленных в ч. 1 ст. 28.4 КоАП РФ, обладают контрольно-надзорные органы.</w:t>
      </w:r>
    </w:p>
    <w:p w:rsidR="00165AB0" w:rsidRPr="004E7613" w:rsidRDefault="004E7613" w:rsidP="004E7613">
      <w:pPr>
        <w:shd w:val="clear" w:color="auto" w:fill="FFFFFF"/>
        <w:spacing w:after="0" w:line="240" w:lineRule="auto"/>
        <w:jc w:val="both"/>
        <w:rPr>
          <w:rFonts w:ascii="Times New Roman" w:eastAsia="Times New Roman" w:hAnsi="Times New Roman" w:cs="Times New Roman"/>
          <w:color w:val="333333"/>
          <w:sz w:val="28"/>
          <w:szCs w:val="28"/>
        </w:rPr>
      </w:pPr>
      <w:r w:rsidRPr="004E7613">
        <w:rPr>
          <w:rFonts w:ascii="Times New Roman" w:eastAsia="Times New Roman" w:hAnsi="Times New Roman" w:cs="Times New Roman"/>
          <w:color w:val="333333"/>
          <w:sz w:val="28"/>
          <w:szCs w:val="28"/>
        </w:rPr>
        <w:tab/>
      </w:r>
      <w:r w:rsidR="00165AB0" w:rsidRPr="004E7613">
        <w:rPr>
          <w:rFonts w:ascii="Times New Roman" w:eastAsia="Times New Roman" w:hAnsi="Times New Roman" w:cs="Times New Roman"/>
          <w:color w:val="333333"/>
          <w:sz w:val="28"/>
          <w:szCs w:val="28"/>
        </w:rPr>
        <w:t>К делам об административных правонарушениях, возбуждение которых относится к исключительной компетенции прокуроров и подлежащих рассмотрению арбитражным судом, относятся дела об административных правонарушениях, предусмотренные статьями: 7.24 КоАП РФ «Нарушение порядка распоряжения объектом нежилого фонда, находящимся в федеральной собственности, и использования указанного объекта»; часть 1 статьи 15.10 КоАП РФ «Неисполнение банком поручения государственного внебюджетного фонда»; 1 – 4.1, 6 и 7 статьи 14.13 КоАП РФ «Неправомерные действия при банкротстве».</w:t>
      </w:r>
    </w:p>
    <w:p w:rsidR="00165AB0" w:rsidRPr="004E7613" w:rsidRDefault="004E7613" w:rsidP="004E7613">
      <w:pPr>
        <w:shd w:val="clear" w:color="auto" w:fill="FFFFFF"/>
        <w:spacing w:after="0" w:line="240" w:lineRule="auto"/>
        <w:jc w:val="both"/>
        <w:rPr>
          <w:rFonts w:ascii="Times New Roman" w:eastAsia="Times New Roman" w:hAnsi="Times New Roman" w:cs="Times New Roman"/>
          <w:color w:val="333333"/>
          <w:sz w:val="28"/>
          <w:szCs w:val="28"/>
        </w:rPr>
      </w:pPr>
      <w:r w:rsidRPr="004E7613">
        <w:rPr>
          <w:rFonts w:ascii="Times New Roman" w:eastAsia="Times New Roman" w:hAnsi="Times New Roman" w:cs="Times New Roman"/>
          <w:color w:val="333333"/>
          <w:sz w:val="28"/>
          <w:szCs w:val="28"/>
        </w:rPr>
        <w:tab/>
      </w:r>
      <w:r w:rsidR="00165AB0" w:rsidRPr="004E7613">
        <w:rPr>
          <w:rFonts w:ascii="Times New Roman" w:eastAsia="Times New Roman" w:hAnsi="Times New Roman" w:cs="Times New Roman"/>
          <w:color w:val="333333"/>
          <w:sz w:val="28"/>
          <w:szCs w:val="28"/>
        </w:rPr>
        <w:t>При этом прокурор, рассматривая вопрос возбуждения дела об административном правонарушении в сфере экономики, учитывает недопустимость вмешательства прокурора в финансовую и экономическую деятельность хозяйствующего субъекта.</w:t>
      </w:r>
    </w:p>
    <w:p w:rsidR="00165AB0" w:rsidRPr="004E7613" w:rsidRDefault="004E7613" w:rsidP="004E7613">
      <w:pPr>
        <w:shd w:val="clear" w:color="auto" w:fill="FFFFFF"/>
        <w:spacing w:after="0" w:line="240" w:lineRule="auto"/>
        <w:jc w:val="both"/>
        <w:rPr>
          <w:rFonts w:ascii="Times New Roman" w:eastAsia="Times New Roman" w:hAnsi="Times New Roman" w:cs="Times New Roman"/>
          <w:color w:val="333333"/>
          <w:sz w:val="28"/>
          <w:szCs w:val="28"/>
        </w:rPr>
      </w:pPr>
      <w:r w:rsidRPr="004E7613">
        <w:rPr>
          <w:rFonts w:ascii="Times New Roman" w:eastAsia="Times New Roman" w:hAnsi="Times New Roman" w:cs="Times New Roman"/>
          <w:color w:val="333333"/>
          <w:sz w:val="28"/>
          <w:szCs w:val="28"/>
        </w:rPr>
        <w:tab/>
      </w:r>
      <w:r w:rsidR="00165AB0" w:rsidRPr="004E7613">
        <w:rPr>
          <w:rFonts w:ascii="Times New Roman" w:eastAsia="Times New Roman" w:hAnsi="Times New Roman" w:cs="Times New Roman"/>
          <w:color w:val="333333"/>
          <w:sz w:val="28"/>
          <w:szCs w:val="28"/>
        </w:rPr>
        <w:t>Кроме того, указанные статьи имеют соответствующую специфику.</w:t>
      </w:r>
    </w:p>
    <w:p w:rsidR="00165AB0" w:rsidRPr="004E7613" w:rsidRDefault="004E7613" w:rsidP="004E7613">
      <w:pPr>
        <w:shd w:val="clear" w:color="auto" w:fill="FFFFFF"/>
        <w:spacing w:after="0" w:line="240" w:lineRule="auto"/>
        <w:jc w:val="both"/>
        <w:rPr>
          <w:rFonts w:ascii="Times New Roman" w:eastAsia="Times New Roman" w:hAnsi="Times New Roman" w:cs="Times New Roman"/>
          <w:color w:val="333333"/>
          <w:sz w:val="28"/>
          <w:szCs w:val="28"/>
        </w:rPr>
      </w:pPr>
      <w:r w:rsidRPr="004E7613">
        <w:rPr>
          <w:rFonts w:ascii="Times New Roman" w:eastAsia="Times New Roman" w:hAnsi="Times New Roman" w:cs="Times New Roman"/>
          <w:color w:val="333333"/>
          <w:sz w:val="28"/>
          <w:szCs w:val="28"/>
        </w:rPr>
        <w:tab/>
      </w:r>
      <w:r w:rsidR="00165AB0" w:rsidRPr="004E7613">
        <w:rPr>
          <w:rFonts w:ascii="Times New Roman" w:eastAsia="Times New Roman" w:hAnsi="Times New Roman" w:cs="Times New Roman"/>
          <w:color w:val="333333"/>
          <w:sz w:val="28"/>
          <w:szCs w:val="28"/>
        </w:rPr>
        <w:t>Следует учесть, что статья 7.24 КоАП РФ предусматривает два самостоятельных состава правонарушения – использование находящегося в федеральной собственности объекта нежилого фонда без надлежаще оформленных документов и использование такого объекта с нарушением установленных норм и правил эксплуатации и содержания объектов нежилого фонда.</w:t>
      </w:r>
    </w:p>
    <w:p w:rsidR="00165AB0" w:rsidRPr="004E7613" w:rsidRDefault="004E7613" w:rsidP="004E7613">
      <w:pPr>
        <w:shd w:val="clear" w:color="auto" w:fill="FFFFFF"/>
        <w:spacing w:after="0" w:line="240" w:lineRule="auto"/>
        <w:jc w:val="both"/>
        <w:rPr>
          <w:rFonts w:ascii="Times New Roman" w:eastAsia="Times New Roman" w:hAnsi="Times New Roman" w:cs="Times New Roman"/>
          <w:color w:val="333333"/>
          <w:sz w:val="28"/>
          <w:szCs w:val="28"/>
        </w:rPr>
      </w:pPr>
      <w:r w:rsidRPr="004E7613">
        <w:rPr>
          <w:rFonts w:ascii="Times New Roman" w:eastAsia="Times New Roman" w:hAnsi="Times New Roman" w:cs="Times New Roman"/>
          <w:color w:val="333333"/>
          <w:sz w:val="28"/>
          <w:szCs w:val="28"/>
        </w:rPr>
        <w:tab/>
      </w:r>
      <w:r w:rsidR="00165AB0" w:rsidRPr="004E7613">
        <w:rPr>
          <w:rFonts w:ascii="Times New Roman" w:eastAsia="Times New Roman" w:hAnsi="Times New Roman" w:cs="Times New Roman"/>
          <w:color w:val="333333"/>
          <w:sz w:val="28"/>
          <w:szCs w:val="28"/>
        </w:rPr>
        <w:t>При этом объектом административного правонарушения является не только – здания или помещения в здании, являющееся федеральной собственностью, но и земельные участки.</w:t>
      </w:r>
    </w:p>
    <w:p w:rsidR="00165AB0" w:rsidRPr="004E7613" w:rsidRDefault="004E7613" w:rsidP="004E7613">
      <w:pPr>
        <w:shd w:val="clear" w:color="auto" w:fill="FFFFFF"/>
        <w:spacing w:after="0" w:line="240" w:lineRule="auto"/>
        <w:jc w:val="both"/>
        <w:rPr>
          <w:rFonts w:ascii="Times New Roman" w:eastAsia="Times New Roman" w:hAnsi="Times New Roman" w:cs="Times New Roman"/>
          <w:color w:val="333333"/>
          <w:sz w:val="28"/>
          <w:szCs w:val="28"/>
        </w:rPr>
      </w:pPr>
      <w:r w:rsidRPr="004E7613">
        <w:rPr>
          <w:rFonts w:ascii="Times New Roman" w:eastAsia="Times New Roman" w:hAnsi="Times New Roman" w:cs="Times New Roman"/>
          <w:color w:val="333333"/>
          <w:sz w:val="28"/>
          <w:szCs w:val="28"/>
        </w:rPr>
        <w:tab/>
      </w:r>
      <w:r w:rsidR="00165AB0" w:rsidRPr="004E7613">
        <w:rPr>
          <w:rFonts w:ascii="Times New Roman" w:eastAsia="Times New Roman" w:hAnsi="Times New Roman" w:cs="Times New Roman"/>
          <w:color w:val="333333"/>
          <w:sz w:val="28"/>
          <w:szCs w:val="28"/>
        </w:rPr>
        <w:t>Наиболее распространенным составом административного правонарушения, относящегося к исключительной компетенции прокурора, относится совершение действий, предусматривающих административную ответственность по части 4 статьи 14.13 КоАП РФ.</w:t>
      </w:r>
    </w:p>
    <w:p w:rsidR="00165AB0" w:rsidRPr="004E7613" w:rsidRDefault="004E7613" w:rsidP="004E7613">
      <w:pPr>
        <w:shd w:val="clear" w:color="auto" w:fill="FFFFFF"/>
        <w:spacing w:after="0" w:line="240" w:lineRule="auto"/>
        <w:jc w:val="both"/>
        <w:rPr>
          <w:rFonts w:ascii="Times New Roman" w:eastAsia="Times New Roman" w:hAnsi="Times New Roman" w:cs="Times New Roman"/>
          <w:color w:val="333333"/>
          <w:sz w:val="28"/>
          <w:szCs w:val="28"/>
        </w:rPr>
      </w:pPr>
      <w:r w:rsidRPr="004E7613">
        <w:rPr>
          <w:rFonts w:ascii="Times New Roman" w:eastAsia="Times New Roman" w:hAnsi="Times New Roman" w:cs="Times New Roman"/>
          <w:color w:val="333333"/>
          <w:sz w:val="28"/>
          <w:szCs w:val="28"/>
        </w:rPr>
        <w:lastRenderedPageBreak/>
        <w:tab/>
      </w:r>
      <w:r w:rsidR="00165AB0" w:rsidRPr="004E7613">
        <w:rPr>
          <w:rFonts w:ascii="Times New Roman" w:eastAsia="Times New Roman" w:hAnsi="Times New Roman" w:cs="Times New Roman"/>
          <w:color w:val="333333"/>
          <w:sz w:val="28"/>
          <w:szCs w:val="28"/>
        </w:rPr>
        <w:t>Особенностью указанных дел является установление ряда факторов, влияющих на наличие состава вменяемого правонарушения, в частности вопрос о получении должником – банкротом запроса конкурсного управляющего о предоставлении документов.</w:t>
      </w:r>
    </w:p>
    <w:p w:rsidR="00165AB0" w:rsidRPr="004E7613" w:rsidRDefault="004E7613" w:rsidP="004E7613">
      <w:pPr>
        <w:shd w:val="clear" w:color="auto" w:fill="FFFFFF"/>
        <w:spacing w:after="0" w:line="240" w:lineRule="auto"/>
        <w:jc w:val="both"/>
        <w:rPr>
          <w:rFonts w:ascii="Times New Roman" w:eastAsia="Times New Roman" w:hAnsi="Times New Roman" w:cs="Times New Roman"/>
          <w:color w:val="333333"/>
          <w:sz w:val="28"/>
          <w:szCs w:val="28"/>
        </w:rPr>
      </w:pPr>
      <w:r w:rsidRPr="004E7613">
        <w:rPr>
          <w:rFonts w:ascii="Times New Roman" w:eastAsia="Times New Roman" w:hAnsi="Times New Roman" w:cs="Times New Roman"/>
          <w:color w:val="333333"/>
          <w:sz w:val="28"/>
          <w:szCs w:val="28"/>
        </w:rPr>
        <w:tab/>
      </w:r>
      <w:r w:rsidR="00165AB0" w:rsidRPr="004E7613">
        <w:rPr>
          <w:rFonts w:ascii="Times New Roman" w:eastAsia="Times New Roman" w:hAnsi="Times New Roman" w:cs="Times New Roman"/>
          <w:color w:val="333333"/>
          <w:sz w:val="28"/>
          <w:szCs w:val="28"/>
        </w:rPr>
        <w:t>Так, при вынесении постановления о возбуждении дела об административном правонарушении учитываются положения пунктов 63, 67 Постановления Пленума Верховного Суда Российской Федерации от 23.06.2015 № 25 «О применении судами некоторых положений раздела I части первой Гражданского кодекса Российской Федерации», из которых следует, что юридически значимое сообщение, адресованное гражданину, должно быть направлено по адресу его регистрации по месту жительства или пребывания. Гражданин несет риск последствий неполучения юридически значимых сообщений, доставленных по таким адресам. Юридически значимое сообщение считается доставленным в случае, если оно поступило лицу, которому оно направлено, но по обстоятельствам, зависящим от него, не было ему вручено или адресат не ознакомился с ним (пункт 1 статьи 165.1 Гражданского кодекса Российской Федерации). Например, сообщение считается доставленным, если адресат уклонился от получения корреспонденции в отделении связи, в связи с чем она была возвращена по истечении срока хранения.</w:t>
      </w:r>
    </w:p>
    <w:p w:rsidR="00165AB0" w:rsidRPr="004E7613" w:rsidRDefault="004E7613" w:rsidP="004E7613">
      <w:pPr>
        <w:shd w:val="clear" w:color="auto" w:fill="FFFFFF"/>
        <w:spacing w:after="0" w:line="240" w:lineRule="auto"/>
        <w:jc w:val="both"/>
        <w:rPr>
          <w:rFonts w:ascii="Times New Roman" w:eastAsia="Times New Roman" w:hAnsi="Times New Roman" w:cs="Times New Roman"/>
          <w:color w:val="333333"/>
          <w:sz w:val="28"/>
          <w:szCs w:val="28"/>
        </w:rPr>
      </w:pPr>
      <w:r w:rsidRPr="004E7613">
        <w:rPr>
          <w:rFonts w:ascii="Times New Roman" w:eastAsia="Times New Roman" w:hAnsi="Times New Roman" w:cs="Times New Roman"/>
          <w:color w:val="333333"/>
          <w:sz w:val="28"/>
          <w:szCs w:val="28"/>
        </w:rPr>
        <w:tab/>
      </w:r>
      <w:r w:rsidR="00165AB0" w:rsidRPr="004E7613">
        <w:rPr>
          <w:rFonts w:ascii="Times New Roman" w:eastAsia="Times New Roman" w:hAnsi="Times New Roman" w:cs="Times New Roman"/>
          <w:color w:val="333333"/>
          <w:sz w:val="28"/>
          <w:szCs w:val="28"/>
        </w:rPr>
        <w:t>При этом заслуживает внимания судебная практика, свидетельствующая о неприменении вышеуказанных положений законодательства. Так, распространенным является подход судов о том, что неполучение почтовой корреспонденции не свидетельствует о воспрепятствовании деятельности финансового управляющего. Вменение лицу в вину действия, которые не могли быть совершены в связи с отсутствием сведений о них, является неправомерным.</w:t>
      </w:r>
    </w:p>
    <w:p w:rsidR="00165AB0" w:rsidRDefault="004E7613" w:rsidP="004E7613">
      <w:pPr>
        <w:shd w:val="clear" w:color="auto" w:fill="FFFFFF"/>
        <w:spacing w:after="0" w:line="240" w:lineRule="auto"/>
        <w:jc w:val="both"/>
        <w:rPr>
          <w:rFonts w:ascii="Times New Roman" w:eastAsia="Times New Roman" w:hAnsi="Times New Roman" w:cs="Times New Roman"/>
          <w:color w:val="333333"/>
          <w:sz w:val="28"/>
          <w:szCs w:val="28"/>
        </w:rPr>
      </w:pPr>
      <w:r w:rsidRPr="004E7613">
        <w:rPr>
          <w:rFonts w:ascii="Times New Roman" w:eastAsia="Times New Roman" w:hAnsi="Times New Roman" w:cs="Times New Roman"/>
          <w:color w:val="333333"/>
          <w:sz w:val="28"/>
          <w:szCs w:val="28"/>
        </w:rPr>
        <w:tab/>
      </w:r>
      <w:r w:rsidR="00165AB0" w:rsidRPr="004E7613">
        <w:rPr>
          <w:rFonts w:ascii="Times New Roman" w:eastAsia="Times New Roman" w:hAnsi="Times New Roman" w:cs="Times New Roman"/>
          <w:color w:val="333333"/>
          <w:sz w:val="28"/>
          <w:szCs w:val="28"/>
        </w:rPr>
        <w:t>Таким образом, при реализации прокурорами полномочий по возбуждению дел об административных правонарушениях, относящихся к исключительной компетенции прокурора, следует внимательно анализировать особенности конструкции составов дел об административных правонарушениях.</w:t>
      </w:r>
    </w:p>
    <w:p w:rsidR="004E7613" w:rsidRDefault="004E7613" w:rsidP="004E7613">
      <w:pPr>
        <w:shd w:val="clear" w:color="auto" w:fill="FFFFFF"/>
        <w:spacing w:after="0" w:line="240" w:lineRule="auto"/>
        <w:jc w:val="both"/>
        <w:rPr>
          <w:rFonts w:ascii="Times New Roman" w:eastAsia="Times New Roman" w:hAnsi="Times New Roman" w:cs="Times New Roman"/>
          <w:color w:val="333333"/>
          <w:sz w:val="28"/>
          <w:szCs w:val="28"/>
        </w:rPr>
      </w:pPr>
    </w:p>
    <w:p w:rsidR="004E7613" w:rsidRPr="004E7613" w:rsidRDefault="004E7613" w:rsidP="004E7613">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Помощник прокурора                                                               </w:t>
      </w:r>
      <w:bookmarkStart w:id="0" w:name="_GoBack"/>
      <w:bookmarkEnd w:id="0"/>
      <w:r>
        <w:rPr>
          <w:rFonts w:ascii="Times New Roman" w:eastAsia="Times New Roman" w:hAnsi="Times New Roman" w:cs="Times New Roman"/>
          <w:color w:val="333333"/>
          <w:sz w:val="28"/>
          <w:szCs w:val="28"/>
        </w:rPr>
        <w:t xml:space="preserve">А.Ю. </w:t>
      </w:r>
      <w:proofErr w:type="spellStart"/>
      <w:r>
        <w:rPr>
          <w:rFonts w:ascii="Times New Roman" w:eastAsia="Times New Roman" w:hAnsi="Times New Roman" w:cs="Times New Roman"/>
          <w:color w:val="333333"/>
          <w:sz w:val="28"/>
          <w:szCs w:val="28"/>
        </w:rPr>
        <w:t>Овчинникова</w:t>
      </w:r>
      <w:proofErr w:type="spellEnd"/>
    </w:p>
    <w:p w:rsidR="00165AB0" w:rsidRPr="004E7613" w:rsidRDefault="00165AB0" w:rsidP="004E7613">
      <w:pPr>
        <w:shd w:val="clear" w:color="auto" w:fill="FFFFFF"/>
        <w:spacing w:after="0" w:line="240" w:lineRule="auto"/>
        <w:jc w:val="both"/>
        <w:rPr>
          <w:rFonts w:ascii="Times New Roman" w:eastAsia="Times New Roman" w:hAnsi="Times New Roman" w:cs="Times New Roman"/>
          <w:color w:val="333333"/>
          <w:sz w:val="28"/>
          <w:szCs w:val="28"/>
        </w:rPr>
      </w:pPr>
      <w:r w:rsidRPr="004E7613">
        <w:rPr>
          <w:rFonts w:ascii="Times New Roman" w:eastAsia="Times New Roman" w:hAnsi="Times New Roman" w:cs="Times New Roman"/>
          <w:color w:val="333333"/>
          <w:sz w:val="28"/>
          <w:szCs w:val="28"/>
        </w:rPr>
        <w:t> </w:t>
      </w:r>
    </w:p>
    <w:p w:rsidR="008F5E0F" w:rsidRPr="004E7613" w:rsidRDefault="008F5E0F" w:rsidP="004E7613">
      <w:pPr>
        <w:spacing w:after="0"/>
        <w:rPr>
          <w:rFonts w:ascii="Times New Roman" w:hAnsi="Times New Roman" w:cs="Times New Roman"/>
          <w:sz w:val="28"/>
          <w:szCs w:val="28"/>
        </w:rPr>
      </w:pPr>
    </w:p>
    <w:sectPr w:rsidR="008F5E0F" w:rsidRPr="004E76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165AB0"/>
    <w:rsid w:val="00165AB0"/>
    <w:rsid w:val="004E7613"/>
    <w:rsid w:val="008F5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28946"/>
  <w15:docId w15:val="{7C42AB45-E78C-48DE-A46A-F9D99C089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165AB0"/>
  </w:style>
  <w:style w:type="character" w:customStyle="1" w:styleId="feeds-pagenavigationtooltip">
    <w:name w:val="feeds-page__navigation_tooltip"/>
    <w:basedOn w:val="a0"/>
    <w:rsid w:val="00165AB0"/>
  </w:style>
  <w:style w:type="paragraph" w:styleId="a3">
    <w:name w:val="Normal (Web)"/>
    <w:basedOn w:val="a"/>
    <w:uiPriority w:val="99"/>
    <w:semiHidden/>
    <w:unhideWhenUsed/>
    <w:rsid w:val="00165A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014499">
      <w:bodyDiv w:val="1"/>
      <w:marLeft w:val="0"/>
      <w:marRight w:val="0"/>
      <w:marTop w:val="0"/>
      <w:marBottom w:val="0"/>
      <w:divBdr>
        <w:top w:val="none" w:sz="0" w:space="0" w:color="auto"/>
        <w:left w:val="none" w:sz="0" w:space="0" w:color="auto"/>
        <w:bottom w:val="none" w:sz="0" w:space="0" w:color="auto"/>
        <w:right w:val="none" w:sz="0" w:space="0" w:color="auto"/>
      </w:divBdr>
      <w:divsChild>
        <w:div w:id="1735348897">
          <w:marLeft w:val="0"/>
          <w:marRight w:val="0"/>
          <w:marTop w:val="0"/>
          <w:marBottom w:val="0"/>
          <w:divBdr>
            <w:top w:val="none" w:sz="0" w:space="0" w:color="auto"/>
            <w:left w:val="none" w:sz="0" w:space="0" w:color="auto"/>
            <w:bottom w:val="none" w:sz="0" w:space="0" w:color="auto"/>
            <w:right w:val="none" w:sz="0" w:space="0" w:color="auto"/>
          </w:divBdr>
          <w:divsChild>
            <w:div w:id="989095769">
              <w:marLeft w:val="0"/>
              <w:marRight w:val="0"/>
              <w:marTop w:val="0"/>
              <w:marBottom w:val="960"/>
              <w:divBdr>
                <w:top w:val="none" w:sz="0" w:space="0" w:color="auto"/>
                <w:left w:val="none" w:sz="0" w:space="0" w:color="auto"/>
                <w:bottom w:val="none" w:sz="0" w:space="0" w:color="auto"/>
                <w:right w:val="none" w:sz="0" w:space="0" w:color="auto"/>
              </w:divBdr>
            </w:div>
          </w:divsChild>
        </w:div>
        <w:div w:id="1513642235">
          <w:marLeft w:val="0"/>
          <w:marRight w:val="0"/>
          <w:marTop w:val="0"/>
          <w:marBottom w:val="0"/>
          <w:divBdr>
            <w:top w:val="none" w:sz="0" w:space="0" w:color="auto"/>
            <w:left w:val="none" w:sz="0" w:space="0" w:color="auto"/>
            <w:bottom w:val="none" w:sz="0" w:space="0" w:color="auto"/>
            <w:right w:val="none" w:sz="0" w:space="0" w:color="auto"/>
          </w:divBdr>
          <w:divsChild>
            <w:div w:id="2085641826">
              <w:marLeft w:val="0"/>
              <w:marRight w:val="720"/>
              <w:marTop w:val="0"/>
              <w:marBottom w:val="0"/>
              <w:divBdr>
                <w:top w:val="none" w:sz="0" w:space="0" w:color="auto"/>
                <w:left w:val="none" w:sz="0" w:space="0" w:color="auto"/>
                <w:bottom w:val="none" w:sz="0" w:space="0" w:color="auto"/>
                <w:right w:val="none" w:sz="0" w:space="0" w:color="auto"/>
              </w:divBdr>
              <w:divsChild>
                <w:div w:id="412163498">
                  <w:marLeft w:val="0"/>
                  <w:marRight w:val="0"/>
                  <w:marTop w:val="0"/>
                  <w:marBottom w:val="120"/>
                  <w:divBdr>
                    <w:top w:val="none" w:sz="0" w:space="0" w:color="auto"/>
                    <w:left w:val="none" w:sz="0" w:space="0" w:color="auto"/>
                    <w:bottom w:val="none" w:sz="0" w:space="0" w:color="auto"/>
                    <w:right w:val="none" w:sz="0" w:space="0" w:color="auto"/>
                  </w:divBdr>
                </w:div>
                <w:div w:id="466364412">
                  <w:marLeft w:val="0"/>
                  <w:marRight w:val="0"/>
                  <w:marTop w:val="0"/>
                  <w:marBottom w:val="120"/>
                  <w:divBdr>
                    <w:top w:val="none" w:sz="0" w:space="0" w:color="auto"/>
                    <w:left w:val="none" w:sz="0" w:space="0" w:color="auto"/>
                    <w:bottom w:val="none" w:sz="0" w:space="0" w:color="auto"/>
                    <w:right w:val="none" w:sz="0" w:space="0" w:color="auto"/>
                  </w:divBdr>
                </w:div>
              </w:divsChild>
            </w:div>
            <w:div w:id="1606771915">
              <w:marLeft w:val="0"/>
              <w:marRight w:val="0"/>
              <w:marTop w:val="0"/>
              <w:marBottom w:val="0"/>
              <w:divBdr>
                <w:top w:val="none" w:sz="0" w:space="0" w:color="auto"/>
                <w:left w:val="none" w:sz="0" w:space="0" w:color="auto"/>
                <w:bottom w:val="none" w:sz="0" w:space="0" w:color="auto"/>
                <w:right w:val="none" w:sz="0" w:space="0" w:color="auto"/>
              </w:divBdr>
              <w:divsChild>
                <w:div w:id="18747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3943</Characters>
  <Application>Microsoft Office Word</Application>
  <DocSecurity>0</DocSecurity>
  <Lines>32</Lines>
  <Paragraphs>9</Paragraphs>
  <ScaleCrop>false</ScaleCrop>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Егорова Евгения Александровна</cp:lastModifiedBy>
  <cp:revision>3</cp:revision>
  <dcterms:created xsi:type="dcterms:W3CDTF">2024-01-16T20:16:00Z</dcterms:created>
  <dcterms:modified xsi:type="dcterms:W3CDTF">2024-01-24T09:45:00Z</dcterms:modified>
</cp:coreProperties>
</file>